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DC" w:rsidRDefault="00B23B08" w:rsidP="00A522BC">
      <w:pPr>
        <w:pStyle w:val="Heading1"/>
      </w:pPr>
      <w:r w:rsidRPr="006937C8">
        <w:t xml:space="preserve">TTIP </w:t>
      </w:r>
      <w:r w:rsidR="000A3DEB">
        <w:t>and</w:t>
      </w:r>
      <w:r>
        <w:t xml:space="preserve"> </w:t>
      </w:r>
      <w:r w:rsidRPr="006937C8">
        <w:t>Norway</w:t>
      </w:r>
      <w:r w:rsidR="000A3DEB">
        <w:t xml:space="preserve">: </w:t>
      </w:r>
      <w:r w:rsidR="00CF7CD0">
        <w:t>I</w:t>
      </w:r>
      <w:r w:rsidR="000A3DEB">
        <w:t>mpact and trade policy options</w:t>
      </w:r>
      <w:r w:rsidRPr="006937C8">
        <w:t xml:space="preserve"> </w:t>
      </w:r>
    </w:p>
    <w:p w:rsidR="003B7295" w:rsidRDefault="003B7295" w:rsidP="003B7295">
      <w:pPr>
        <w:pStyle w:val="Heading3"/>
      </w:pPr>
      <w:r>
        <w:t>Arne Melchior (</w:t>
      </w:r>
      <w:proofErr w:type="gramStart"/>
      <w:r>
        <w:t>ed</w:t>
      </w:r>
      <w:proofErr w:type="gramEnd"/>
      <w:r>
        <w:t>.)</w:t>
      </w:r>
    </w:p>
    <w:p w:rsidR="003B7295" w:rsidRPr="006937C8" w:rsidRDefault="003B7295" w:rsidP="003B7295">
      <w:r w:rsidRPr="006937C8">
        <w:t>A study by NUPI in cooperation with Ifo-Munich, NIBIO, Menon and lawyers at the Center for European Law, University of Oslo.</w:t>
      </w:r>
    </w:p>
    <w:p w:rsidR="003B7295" w:rsidRPr="003B7295" w:rsidRDefault="003B7295" w:rsidP="003B7295">
      <w:r>
        <w:t>With contributions from Ivar Alvik, Tarjei Bekkedal, Gabriel Felbermayr, Marcus Gjems Theie, Leo Andreas Grünfeld, Hege Medin, Klaus Mittenzwei, Ivar Pettersen and Frode Veggeland.</w:t>
      </w:r>
    </w:p>
    <w:p w:rsidR="0082750C" w:rsidRPr="006937C8" w:rsidRDefault="0082750C">
      <w:r w:rsidRPr="006937C8">
        <w:t xml:space="preserve">Oslo, 31 October 2016. </w:t>
      </w:r>
    </w:p>
    <w:p w:rsidR="003B7295" w:rsidRPr="006937C8" w:rsidRDefault="0066392E" w:rsidP="003B7295">
      <w:r w:rsidRPr="006937C8">
        <w:t>This report is also available in Norwegian</w:t>
      </w:r>
      <w:r w:rsidR="003B7295">
        <w:t xml:space="preserve">, with the title </w:t>
      </w:r>
      <w:r w:rsidR="003B7295" w:rsidRPr="003B7295">
        <w:rPr>
          <w:i/>
        </w:rPr>
        <w:t xml:space="preserve">TTIP </w:t>
      </w:r>
      <w:proofErr w:type="gramStart"/>
      <w:r w:rsidR="003B7295" w:rsidRPr="003B7295">
        <w:rPr>
          <w:i/>
        </w:rPr>
        <w:t>og</w:t>
      </w:r>
      <w:proofErr w:type="gramEnd"/>
      <w:r w:rsidR="003B7295" w:rsidRPr="003B7295">
        <w:rPr>
          <w:i/>
        </w:rPr>
        <w:t xml:space="preserve"> Norge: Virkninger og handlingsvalg</w:t>
      </w:r>
      <w:r w:rsidR="003B7295">
        <w:rPr>
          <w:i/>
        </w:rPr>
        <w:t>.</w:t>
      </w:r>
      <w:r w:rsidR="003B7295" w:rsidRPr="006937C8">
        <w:t xml:space="preserve"> </w:t>
      </w:r>
    </w:p>
    <w:p w:rsidR="0082750C" w:rsidRPr="006937C8" w:rsidRDefault="00880BE1" w:rsidP="00880BE1">
      <w:pPr>
        <w:pStyle w:val="Heading3"/>
        <w:ind w:left="0" w:hanging="11"/>
      </w:pPr>
      <w:r>
        <w:t>Note: The complete English version of the report will be published before 20 November 2016. This version includes the abstract and summary.</w:t>
      </w:r>
    </w:p>
    <w:p w:rsidR="00B81CF0" w:rsidRDefault="00B81CF0"/>
    <w:p w:rsidR="00B81CF0" w:rsidRDefault="00B81CF0"/>
    <w:p w:rsidR="00B81CF0" w:rsidRDefault="00B81CF0"/>
    <w:p w:rsidR="00B81CF0" w:rsidRDefault="00B81CF0"/>
    <w:p w:rsidR="00B81CF0" w:rsidRDefault="00B81CF0"/>
    <w:p w:rsidR="00B81CF0" w:rsidRDefault="00B81CF0"/>
    <w:p w:rsidR="00B81CF0" w:rsidRDefault="00B81CF0"/>
    <w:p w:rsidR="0066392E" w:rsidRDefault="0066392E">
      <w:r>
        <w:br w:type="page"/>
      </w:r>
    </w:p>
    <w:p w:rsidR="00B81CF0" w:rsidRDefault="0066392E" w:rsidP="0066392E">
      <w:pPr>
        <w:pStyle w:val="Heading1"/>
      </w:pPr>
      <w:r>
        <w:lastRenderedPageBreak/>
        <w:t>TTIP project: Other publications</w:t>
      </w:r>
    </w:p>
    <w:p w:rsidR="0082750C" w:rsidRPr="006937C8" w:rsidRDefault="0082750C" w:rsidP="00B81CF0">
      <w:pPr>
        <w:pStyle w:val="Heading3"/>
      </w:pPr>
      <w:r w:rsidRPr="006937C8">
        <w:t>In addition to this report, the following papers are available:</w:t>
      </w:r>
    </w:p>
    <w:p w:rsidR="00512C99" w:rsidRPr="00512C99" w:rsidRDefault="00512C99" w:rsidP="00512C99">
      <w:r>
        <w:rPr>
          <w:lang w:val="nn-NO"/>
        </w:rPr>
        <w:t xml:space="preserve">Alvik, I., T. Bekkedal &amp; C. Hillion: </w:t>
      </w:r>
      <w:r w:rsidR="005821C4" w:rsidRPr="00512C99">
        <w:rPr>
          <w:lang w:val="nn-NO"/>
        </w:rPr>
        <w:t>Norges plass i partnerskapet mellom EU og USA – institusjonelle og regulatoriske aspekter</w:t>
      </w:r>
      <w:r>
        <w:rPr>
          <w:lang w:val="nn-NO"/>
        </w:rPr>
        <w:t xml:space="preserve">. Includes (I) </w:t>
      </w:r>
      <w:r w:rsidRPr="00512C99">
        <w:t>Norsk deltakelse i handels-partnerskapet mellom EU og USA</w:t>
      </w:r>
      <w:r>
        <w:t xml:space="preserve">; and (II) </w:t>
      </w:r>
      <w:r w:rsidRPr="00512C99">
        <w:t>II: Investeringsbeskyttelse og investor-stat tvisteløsning i TTIP – implikasjoner for Norge</w:t>
      </w:r>
      <w:r>
        <w:t xml:space="preserve">. </w:t>
      </w:r>
    </w:p>
    <w:p w:rsidR="00CF7CD0" w:rsidRDefault="00CF7CD0" w:rsidP="00CF7CD0">
      <w:pPr>
        <w:spacing w:after="120" w:line="240" w:lineRule="auto"/>
        <w:jc w:val="both"/>
        <w:rPr>
          <w:rFonts w:cs="Verdana"/>
          <w:bCs/>
          <w:lang w:val="en-US"/>
        </w:rPr>
      </w:pPr>
      <w:r w:rsidRPr="00CF7CD0">
        <w:rPr>
          <w:rFonts w:cs="Verdana"/>
          <w:bCs/>
          <w:lang w:val="en-US"/>
        </w:rPr>
        <w:t>Felbermayr, G., R. Aich</w:t>
      </w:r>
      <w:r>
        <w:rPr>
          <w:rFonts w:cs="Verdana"/>
          <w:bCs/>
          <w:lang w:val="en-US"/>
        </w:rPr>
        <w:t xml:space="preserve">ele, I. Heiland, M. Steininger: </w:t>
      </w:r>
      <w:r w:rsidRPr="00CF7CD0">
        <w:rPr>
          <w:rFonts w:cs="Verdana"/>
          <w:bCs/>
          <w:lang w:val="en-US"/>
        </w:rPr>
        <w:t>TTIP: Potential Effects on Norway</w:t>
      </w:r>
      <w:r>
        <w:rPr>
          <w:rFonts w:cs="Verdana"/>
          <w:bCs/>
          <w:lang w:val="en-US"/>
        </w:rPr>
        <w:t>.</w:t>
      </w:r>
      <w:r w:rsidRPr="00CF7CD0">
        <w:rPr>
          <w:rFonts w:cs="Verdana"/>
          <w:bCs/>
          <w:lang w:val="en-US"/>
        </w:rPr>
        <w:t xml:space="preserve"> </w:t>
      </w:r>
      <w:proofErr w:type="gramStart"/>
      <w:r w:rsidRPr="00CF7CD0">
        <w:rPr>
          <w:rFonts w:cs="Verdana"/>
          <w:bCs/>
          <w:lang w:val="en-US"/>
        </w:rPr>
        <w:t>ifo</w:t>
      </w:r>
      <w:proofErr w:type="gramEnd"/>
      <w:r w:rsidRPr="00CF7CD0">
        <w:rPr>
          <w:rFonts w:cs="Verdana"/>
          <w:bCs/>
          <w:lang w:val="en-US"/>
        </w:rPr>
        <w:t xml:space="preserve"> Working Paper 228.</w:t>
      </w:r>
      <w:r>
        <w:rPr>
          <w:rFonts w:cs="Verdana"/>
          <w:bCs/>
          <w:lang w:val="en-US"/>
        </w:rPr>
        <w:t>*)</w:t>
      </w:r>
    </w:p>
    <w:p w:rsidR="0066392E" w:rsidRDefault="0066392E" w:rsidP="0066392E">
      <w:r w:rsidRPr="008D012F">
        <w:t>Grünfeld L.</w:t>
      </w:r>
      <w:r>
        <w:t xml:space="preserve"> &amp;</w:t>
      </w:r>
      <w:r w:rsidRPr="008D012F">
        <w:t xml:space="preserve"> M. G.</w:t>
      </w:r>
      <w:r>
        <w:t xml:space="preserve"> </w:t>
      </w:r>
      <w:r w:rsidRPr="008D012F">
        <w:t xml:space="preserve">Theie, 2016, Hvordan vil TTIP påvirke </w:t>
      </w:r>
      <w:proofErr w:type="gramStart"/>
      <w:r w:rsidRPr="008D012F">
        <w:t>handel</w:t>
      </w:r>
      <w:proofErr w:type="gramEnd"/>
      <w:r w:rsidRPr="008D012F">
        <w:t xml:space="preserve"> og investeringer i tjenestesektoren? </w:t>
      </w:r>
      <w:proofErr w:type="gramStart"/>
      <w:r w:rsidRPr="008D012F">
        <w:t>Menon-rapport nr.</w:t>
      </w:r>
      <w:proofErr w:type="gramEnd"/>
      <w:r w:rsidRPr="008D012F">
        <w:t xml:space="preserve"> </w:t>
      </w:r>
      <w:proofErr w:type="gramStart"/>
      <w:r w:rsidRPr="008D012F">
        <w:t>57/2016</w:t>
      </w:r>
      <w:r>
        <w:t>.</w:t>
      </w:r>
      <w:proofErr w:type="gramEnd"/>
    </w:p>
    <w:p w:rsidR="00CF7CD0" w:rsidRPr="00CF7CD0" w:rsidRDefault="00CF7CD0" w:rsidP="00CF7CD0">
      <w:pPr>
        <w:spacing w:after="120" w:line="240" w:lineRule="auto"/>
        <w:jc w:val="both"/>
        <w:rPr>
          <w:lang w:val="en-US"/>
        </w:rPr>
      </w:pPr>
      <w:r>
        <w:rPr>
          <w:rFonts w:cs="Verdana"/>
          <w:bCs/>
          <w:lang w:val="en-US"/>
        </w:rPr>
        <w:t>Melchior, A.: TTIP and Third Countries: The Role of Trade Policy Spillovers.</w:t>
      </w:r>
    </w:p>
    <w:p w:rsidR="0082750C" w:rsidRDefault="0082750C">
      <w:r w:rsidRPr="006937C8">
        <w:t xml:space="preserve">Mittenzwei, K.: </w:t>
      </w:r>
      <w:r w:rsidR="00CE1B65" w:rsidRPr="00CE1B65">
        <w:t>TTIP</w:t>
      </w:r>
      <w:r w:rsidR="00CF7CD0">
        <w:t xml:space="preserve">, jordbruk </w:t>
      </w:r>
      <w:proofErr w:type="gramStart"/>
      <w:r w:rsidR="00CF7CD0">
        <w:t>og</w:t>
      </w:r>
      <w:proofErr w:type="gramEnd"/>
      <w:r w:rsidR="00CF7CD0">
        <w:t xml:space="preserve"> matindustri</w:t>
      </w:r>
      <w:r w:rsidR="00CE1B65">
        <w:t>: Modellbasert konsekvensanalyse av norske veivalg</w:t>
      </w:r>
      <w:r w:rsidRPr="006937C8">
        <w:t>.</w:t>
      </w:r>
      <w:r w:rsidR="00CF7CD0">
        <w:t xml:space="preserve"> NIBIO Rapport 2/111.*)</w:t>
      </w:r>
    </w:p>
    <w:p w:rsidR="0056758F" w:rsidRPr="006937C8" w:rsidRDefault="0056758F">
      <w:r>
        <w:t>NUPI: TTIP and Norway – technical material and supplementary data.</w:t>
      </w:r>
    </w:p>
    <w:p w:rsidR="0082750C" w:rsidRPr="006937C8" w:rsidRDefault="00CF7CD0">
      <w:r>
        <w:t xml:space="preserve">Veggeland, F.: TTIP – regulatory cooperation on food and health. </w:t>
      </w:r>
    </w:p>
    <w:p w:rsidR="0082750C" w:rsidRPr="006937C8" w:rsidRDefault="0082750C">
      <w:r w:rsidRPr="006937C8">
        <w:t xml:space="preserve">Note: Publications marked *) will be </w:t>
      </w:r>
      <w:r w:rsidR="00CF7CD0">
        <w:t xml:space="preserve">available on 2 November 2016 and the other ones follow </w:t>
      </w:r>
      <w:r w:rsidR="003B7295">
        <w:t>before 15 November</w:t>
      </w:r>
      <w:r w:rsidR="00CF7CD0">
        <w:t>.</w:t>
      </w:r>
      <w:r w:rsidRPr="006937C8">
        <w:t xml:space="preserve">  </w:t>
      </w:r>
    </w:p>
    <w:p w:rsidR="0066392E" w:rsidRDefault="0066392E">
      <w:pPr>
        <w:rPr>
          <w:rFonts w:ascii="Arial Narrow" w:eastAsiaTheme="majorEastAsia" w:hAnsi="Arial Narrow" w:cs="Arial"/>
          <w:b/>
          <w:bCs/>
          <w:color w:val="595959" w:themeColor="text1" w:themeTint="A6"/>
          <w:sz w:val="40"/>
          <w:szCs w:val="40"/>
        </w:rPr>
      </w:pPr>
      <w:r>
        <w:br w:type="page"/>
      </w:r>
    </w:p>
    <w:p w:rsidR="00304790" w:rsidRPr="006937C8" w:rsidRDefault="00304790" w:rsidP="00A522BC">
      <w:pPr>
        <w:pStyle w:val="Heading1"/>
      </w:pPr>
      <w:r w:rsidRPr="006937C8">
        <w:lastRenderedPageBreak/>
        <w:t>Preface</w:t>
      </w:r>
    </w:p>
    <w:p w:rsidR="00304790" w:rsidRPr="006937C8" w:rsidRDefault="00304790">
      <w:r w:rsidRPr="006937C8">
        <w:t xml:space="preserve">This report is written as part of a project funded by the Norwegian Ministry of </w:t>
      </w:r>
      <w:r w:rsidR="00B81CF0">
        <w:t>Trade</w:t>
      </w:r>
      <w:proofErr w:type="gramStart"/>
      <w:r w:rsidR="00B81CF0">
        <w:t xml:space="preserve">,  </w:t>
      </w:r>
      <w:r w:rsidRPr="006937C8">
        <w:t>Industry</w:t>
      </w:r>
      <w:proofErr w:type="gramEnd"/>
      <w:r w:rsidRPr="006937C8">
        <w:t xml:space="preserve"> and Fisheries </w:t>
      </w:r>
      <w:r w:rsidR="00973BAF" w:rsidRPr="006937C8">
        <w:t xml:space="preserve">during </w:t>
      </w:r>
      <w:r w:rsidRPr="006937C8">
        <w:t>2016. The project has been undertaken by a consortium with the following partners:</w:t>
      </w:r>
    </w:p>
    <w:tbl>
      <w:tblPr>
        <w:tblStyle w:val="TableGrid"/>
        <w:tblW w:w="84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tblPr>
      <w:tblGrid>
        <w:gridCol w:w="2093"/>
        <w:gridCol w:w="3118"/>
        <w:gridCol w:w="3261"/>
      </w:tblGrid>
      <w:tr w:rsidR="008556A0" w:rsidRPr="006937C8" w:rsidTr="004F4568">
        <w:tc>
          <w:tcPr>
            <w:tcW w:w="2093" w:type="dxa"/>
          </w:tcPr>
          <w:p w:rsidR="008556A0" w:rsidRPr="006937C8" w:rsidRDefault="008556A0" w:rsidP="008121DC">
            <w:pPr>
              <w:rPr>
                <w:rFonts w:ascii="Arial" w:hAnsi="Arial"/>
                <w:lang w:eastAsia="nb-NO"/>
              </w:rPr>
            </w:pPr>
            <w:r w:rsidRPr="006937C8">
              <w:rPr>
                <w:kern w:val="24"/>
                <w:lang w:eastAsia="nb-NO"/>
              </w:rPr>
              <w:t xml:space="preserve">Partner </w:t>
            </w:r>
          </w:p>
        </w:tc>
        <w:tc>
          <w:tcPr>
            <w:tcW w:w="3118" w:type="dxa"/>
          </w:tcPr>
          <w:p w:rsidR="008556A0" w:rsidRPr="006937C8" w:rsidRDefault="008556A0" w:rsidP="008556A0">
            <w:pPr>
              <w:rPr>
                <w:rFonts w:ascii="Arial" w:hAnsi="Arial"/>
                <w:lang w:eastAsia="nb-NO"/>
              </w:rPr>
            </w:pPr>
            <w:r w:rsidRPr="006937C8">
              <w:rPr>
                <w:kern w:val="24"/>
                <w:lang w:eastAsia="nb-NO"/>
              </w:rPr>
              <w:t>Themes</w:t>
            </w:r>
          </w:p>
        </w:tc>
        <w:tc>
          <w:tcPr>
            <w:tcW w:w="3261" w:type="dxa"/>
          </w:tcPr>
          <w:p w:rsidR="008556A0" w:rsidRPr="006937C8" w:rsidRDefault="008556A0" w:rsidP="008121DC">
            <w:r w:rsidRPr="006937C8">
              <w:t>Participants</w:t>
            </w:r>
          </w:p>
        </w:tc>
      </w:tr>
      <w:tr w:rsidR="008556A0" w:rsidRPr="006937C8" w:rsidTr="0066392E">
        <w:tc>
          <w:tcPr>
            <w:tcW w:w="2093" w:type="dxa"/>
            <w:vAlign w:val="center"/>
          </w:tcPr>
          <w:p w:rsidR="008556A0" w:rsidRPr="006937C8" w:rsidRDefault="008556A0" w:rsidP="008121DC">
            <w:pPr>
              <w:rPr>
                <w:rFonts w:ascii="Arial" w:hAnsi="Arial"/>
                <w:lang w:eastAsia="nb-NO"/>
              </w:rPr>
            </w:pPr>
            <w:r w:rsidRPr="006937C8">
              <w:rPr>
                <w:color w:val="000000"/>
                <w:kern w:val="24"/>
                <w:lang w:eastAsia="nb-NO"/>
              </w:rPr>
              <w:t xml:space="preserve">NUPI </w:t>
            </w:r>
          </w:p>
        </w:tc>
        <w:tc>
          <w:tcPr>
            <w:tcW w:w="3118" w:type="dxa"/>
            <w:vAlign w:val="center"/>
          </w:tcPr>
          <w:p w:rsidR="008556A0" w:rsidRPr="006937C8" w:rsidRDefault="008556A0" w:rsidP="008556A0">
            <w:pPr>
              <w:rPr>
                <w:rFonts w:ascii="Arial" w:hAnsi="Arial"/>
                <w:lang w:eastAsia="nb-NO"/>
              </w:rPr>
            </w:pPr>
            <w:r w:rsidRPr="006937C8">
              <w:rPr>
                <w:color w:val="000000"/>
                <w:kern w:val="24"/>
                <w:lang w:eastAsia="nb-NO"/>
              </w:rPr>
              <w:t xml:space="preserve">Project management, and economic, institutional and legal issues </w:t>
            </w:r>
          </w:p>
        </w:tc>
        <w:tc>
          <w:tcPr>
            <w:tcW w:w="3261" w:type="dxa"/>
            <w:vAlign w:val="center"/>
          </w:tcPr>
          <w:p w:rsidR="008556A0" w:rsidRPr="006937C8" w:rsidRDefault="008556A0" w:rsidP="008121DC">
            <w:pPr>
              <w:rPr>
                <w:rFonts w:ascii="Arial" w:hAnsi="Arial"/>
                <w:sz w:val="36"/>
                <w:szCs w:val="36"/>
              </w:rPr>
            </w:pPr>
            <w:r w:rsidRPr="006937C8">
              <w:rPr>
                <w:kern w:val="24"/>
              </w:rPr>
              <w:t xml:space="preserve">Christophe Hillion, Hege Medin, </w:t>
            </w:r>
            <w:r w:rsidRPr="006937C8">
              <w:rPr>
                <w:i/>
                <w:kern w:val="24"/>
              </w:rPr>
              <w:t>Arne Melchior</w:t>
            </w:r>
            <w:r w:rsidRPr="006937C8">
              <w:rPr>
                <w:kern w:val="24"/>
              </w:rPr>
              <w:t xml:space="preserve">, Ulf Sverdrup </w:t>
            </w:r>
          </w:p>
        </w:tc>
      </w:tr>
      <w:tr w:rsidR="008556A0" w:rsidRPr="006937C8" w:rsidTr="0066392E">
        <w:tc>
          <w:tcPr>
            <w:tcW w:w="2093" w:type="dxa"/>
            <w:vAlign w:val="center"/>
          </w:tcPr>
          <w:p w:rsidR="008556A0" w:rsidRPr="006937C8" w:rsidRDefault="008556A0" w:rsidP="008121DC">
            <w:pPr>
              <w:rPr>
                <w:rFonts w:ascii="Arial" w:hAnsi="Arial"/>
                <w:lang w:eastAsia="nb-NO"/>
              </w:rPr>
            </w:pPr>
            <w:r w:rsidRPr="006937C8">
              <w:rPr>
                <w:color w:val="000000"/>
                <w:kern w:val="24"/>
                <w:lang w:eastAsia="nb-NO"/>
              </w:rPr>
              <w:t xml:space="preserve">IFO, Munchen </w:t>
            </w:r>
          </w:p>
        </w:tc>
        <w:tc>
          <w:tcPr>
            <w:tcW w:w="3118" w:type="dxa"/>
            <w:vAlign w:val="center"/>
          </w:tcPr>
          <w:p w:rsidR="008556A0" w:rsidRPr="006937C8" w:rsidRDefault="008556A0" w:rsidP="008556A0">
            <w:pPr>
              <w:rPr>
                <w:rFonts w:ascii="Arial" w:hAnsi="Arial"/>
                <w:lang w:eastAsia="nb-NO"/>
              </w:rPr>
            </w:pPr>
            <w:r w:rsidRPr="006937C8">
              <w:rPr>
                <w:color w:val="000000"/>
                <w:kern w:val="24"/>
                <w:lang w:eastAsia="nb-NO"/>
              </w:rPr>
              <w:t xml:space="preserve">Economic model analysis </w:t>
            </w:r>
          </w:p>
        </w:tc>
        <w:tc>
          <w:tcPr>
            <w:tcW w:w="3261" w:type="dxa"/>
            <w:vAlign w:val="center"/>
          </w:tcPr>
          <w:p w:rsidR="008556A0" w:rsidRPr="006937C8" w:rsidRDefault="008556A0" w:rsidP="00B81CF0">
            <w:pPr>
              <w:rPr>
                <w:rFonts w:ascii="Arial" w:hAnsi="Arial"/>
                <w:sz w:val="36"/>
                <w:szCs w:val="36"/>
              </w:rPr>
            </w:pPr>
            <w:r w:rsidRPr="006937C8">
              <w:rPr>
                <w:i/>
                <w:kern w:val="24"/>
              </w:rPr>
              <w:t>Gabriel Felbermayr</w:t>
            </w:r>
            <w:r w:rsidRPr="006937C8">
              <w:rPr>
                <w:kern w:val="24"/>
              </w:rPr>
              <w:t xml:space="preserve"> , Rahel Aichele, </w:t>
            </w:r>
            <w:r w:rsidR="00B81CF0">
              <w:rPr>
                <w:kern w:val="24"/>
              </w:rPr>
              <w:t>Inga Heiland, Marina Steininger</w:t>
            </w:r>
            <w:r w:rsidRPr="006937C8">
              <w:rPr>
                <w:kern w:val="24"/>
              </w:rPr>
              <w:t xml:space="preserve"> </w:t>
            </w:r>
          </w:p>
        </w:tc>
      </w:tr>
      <w:tr w:rsidR="008556A0" w:rsidRPr="006937C8" w:rsidTr="0066392E">
        <w:tc>
          <w:tcPr>
            <w:tcW w:w="2093" w:type="dxa"/>
            <w:vAlign w:val="center"/>
          </w:tcPr>
          <w:p w:rsidR="008556A0" w:rsidRPr="006937C8" w:rsidRDefault="008556A0" w:rsidP="008121DC">
            <w:pPr>
              <w:rPr>
                <w:rFonts w:ascii="Arial" w:hAnsi="Arial"/>
                <w:lang w:eastAsia="nb-NO"/>
              </w:rPr>
            </w:pPr>
            <w:r w:rsidRPr="006937C8">
              <w:rPr>
                <w:color w:val="000000"/>
                <w:kern w:val="24"/>
                <w:lang w:eastAsia="nb-NO"/>
              </w:rPr>
              <w:t xml:space="preserve">NIBIO </w:t>
            </w:r>
          </w:p>
        </w:tc>
        <w:tc>
          <w:tcPr>
            <w:tcW w:w="3118" w:type="dxa"/>
            <w:vAlign w:val="center"/>
          </w:tcPr>
          <w:p w:rsidR="008556A0" w:rsidRPr="006937C8" w:rsidRDefault="008556A0" w:rsidP="003B7295">
            <w:pPr>
              <w:rPr>
                <w:rFonts w:ascii="Arial" w:hAnsi="Arial"/>
                <w:lang w:eastAsia="nb-NO"/>
              </w:rPr>
            </w:pPr>
            <w:r w:rsidRPr="006937C8">
              <w:rPr>
                <w:color w:val="000000"/>
                <w:kern w:val="24"/>
                <w:lang w:eastAsia="nb-NO"/>
              </w:rPr>
              <w:t xml:space="preserve">Analysis of agriculture and the food industry and </w:t>
            </w:r>
            <w:r w:rsidR="003B7295">
              <w:rPr>
                <w:color w:val="000000"/>
                <w:kern w:val="24"/>
                <w:lang w:eastAsia="nb-NO"/>
              </w:rPr>
              <w:t>re3gulatory cooperation</w:t>
            </w:r>
            <w:r w:rsidRPr="006937C8">
              <w:rPr>
                <w:color w:val="000000"/>
                <w:kern w:val="24"/>
                <w:lang w:eastAsia="nb-NO"/>
              </w:rPr>
              <w:t xml:space="preserve"> </w:t>
            </w:r>
          </w:p>
        </w:tc>
        <w:tc>
          <w:tcPr>
            <w:tcW w:w="3261" w:type="dxa"/>
            <w:vAlign w:val="center"/>
          </w:tcPr>
          <w:p w:rsidR="008556A0" w:rsidRPr="006937C8" w:rsidRDefault="008556A0" w:rsidP="008121DC">
            <w:pPr>
              <w:rPr>
                <w:rFonts w:ascii="Arial" w:hAnsi="Arial"/>
                <w:sz w:val="36"/>
                <w:szCs w:val="36"/>
              </w:rPr>
            </w:pPr>
            <w:r w:rsidRPr="006937C8">
              <w:rPr>
                <w:i/>
                <w:kern w:val="24"/>
              </w:rPr>
              <w:t>Klaus Mittenzwei</w:t>
            </w:r>
            <w:r w:rsidRPr="006937C8">
              <w:rPr>
                <w:kern w:val="24"/>
              </w:rPr>
              <w:t xml:space="preserve">, Ivar Pettersen, Frode Veggeland </w:t>
            </w:r>
          </w:p>
        </w:tc>
      </w:tr>
      <w:tr w:rsidR="008556A0" w:rsidRPr="006937C8" w:rsidTr="0066392E">
        <w:tc>
          <w:tcPr>
            <w:tcW w:w="2093" w:type="dxa"/>
            <w:vAlign w:val="center"/>
          </w:tcPr>
          <w:p w:rsidR="008556A0" w:rsidRPr="006937C8" w:rsidRDefault="008556A0" w:rsidP="008121DC">
            <w:pPr>
              <w:rPr>
                <w:rFonts w:ascii="Arial" w:hAnsi="Arial"/>
                <w:lang w:eastAsia="nb-NO"/>
              </w:rPr>
            </w:pPr>
            <w:r w:rsidRPr="006937C8">
              <w:rPr>
                <w:color w:val="000000"/>
                <w:kern w:val="24"/>
                <w:lang w:eastAsia="nb-NO"/>
              </w:rPr>
              <w:t xml:space="preserve">Menon </w:t>
            </w:r>
          </w:p>
        </w:tc>
        <w:tc>
          <w:tcPr>
            <w:tcW w:w="3118" w:type="dxa"/>
            <w:vAlign w:val="center"/>
          </w:tcPr>
          <w:p w:rsidR="008556A0" w:rsidRPr="006937C8" w:rsidRDefault="008556A0" w:rsidP="008121DC">
            <w:pPr>
              <w:rPr>
                <w:rFonts w:ascii="Arial" w:hAnsi="Arial"/>
                <w:lang w:eastAsia="nb-NO"/>
              </w:rPr>
            </w:pPr>
            <w:r w:rsidRPr="006937C8">
              <w:rPr>
                <w:color w:val="000000"/>
                <w:kern w:val="24"/>
                <w:lang w:eastAsia="nb-NO"/>
              </w:rPr>
              <w:t>Services trade</w:t>
            </w:r>
          </w:p>
        </w:tc>
        <w:tc>
          <w:tcPr>
            <w:tcW w:w="3261" w:type="dxa"/>
            <w:vAlign w:val="center"/>
          </w:tcPr>
          <w:p w:rsidR="008556A0" w:rsidRPr="006937C8" w:rsidRDefault="008556A0" w:rsidP="00B81CF0">
            <w:pPr>
              <w:rPr>
                <w:rFonts w:ascii="Arial" w:hAnsi="Arial"/>
                <w:sz w:val="36"/>
                <w:szCs w:val="36"/>
              </w:rPr>
            </w:pPr>
            <w:r w:rsidRPr="006937C8">
              <w:rPr>
                <w:i/>
                <w:kern w:val="24"/>
              </w:rPr>
              <w:t>Leo A. Grünfeld</w:t>
            </w:r>
            <w:r w:rsidR="00B81CF0">
              <w:rPr>
                <w:kern w:val="24"/>
              </w:rPr>
              <w:t xml:space="preserve"> and</w:t>
            </w:r>
            <w:r w:rsidRPr="006937C8">
              <w:rPr>
                <w:kern w:val="24"/>
              </w:rPr>
              <w:t xml:space="preserve"> Marcus Gjems Theie </w:t>
            </w:r>
          </w:p>
        </w:tc>
      </w:tr>
      <w:tr w:rsidR="008556A0" w:rsidRPr="006937C8" w:rsidTr="0066392E">
        <w:tc>
          <w:tcPr>
            <w:tcW w:w="2093" w:type="dxa"/>
            <w:vAlign w:val="center"/>
          </w:tcPr>
          <w:p w:rsidR="008556A0" w:rsidRPr="006937C8" w:rsidRDefault="00973BAF" w:rsidP="00973BAF">
            <w:pPr>
              <w:rPr>
                <w:rFonts w:ascii="Arial" w:hAnsi="Arial"/>
                <w:lang w:eastAsia="nb-NO"/>
              </w:rPr>
            </w:pPr>
            <w:r w:rsidRPr="006937C8">
              <w:rPr>
                <w:color w:val="000000"/>
                <w:kern w:val="24"/>
                <w:lang w:eastAsia="nb-NO"/>
              </w:rPr>
              <w:t xml:space="preserve">Lawyers at the </w:t>
            </w:r>
            <w:r w:rsidR="008556A0" w:rsidRPr="006937C8">
              <w:rPr>
                <w:color w:val="000000"/>
                <w:kern w:val="24"/>
                <w:lang w:eastAsia="nb-NO"/>
              </w:rPr>
              <w:t>Universitet</w:t>
            </w:r>
            <w:r w:rsidRPr="006937C8">
              <w:rPr>
                <w:color w:val="000000"/>
                <w:kern w:val="24"/>
                <w:lang w:eastAsia="nb-NO"/>
              </w:rPr>
              <w:t>y of</w:t>
            </w:r>
            <w:r w:rsidR="008556A0" w:rsidRPr="006937C8">
              <w:rPr>
                <w:color w:val="000000"/>
                <w:kern w:val="24"/>
                <w:lang w:eastAsia="nb-NO"/>
              </w:rPr>
              <w:t xml:space="preserve"> Oslo </w:t>
            </w:r>
          </w:p>
        </w:tc>
        <w:tc>
          <w:tcPr>
            <w:tcW w:w="3118" w:type="dxa"/>
            <w:vAlign w:val="center"/>
          </w:tcPr>
          <w:p w:rsidR="008556A0" w:rsidRPr="006937C8" w:rsidRDefault="008556A0" w:rsidP="008121DC">
            <w:pPr>
              <w:rPr>
                <w:rFonts w:ascii="Arial" w:hAnsi="Arial"/>
                <w:lang w:eastAsia="nb-NO"/>
              </w:rPr>
            </w:pPr>
            <w:r w:rsidRPr="006937C8">
              <w:rPr>
                <w:color w:val="000000"/>
                <w:kern w:val="24"/>
                <w:lang w:eastAsia="nb-NO"/>
              </w:rPr>
              <w:t xml:space="preserve">Legal aspects </w:t>
            </w:r>
          </w:p>
        </w:tc>
        <w:tc>
          <w:tcPr>
            <w:tcW w:w="3261" w:type="dxa"/>
            <w:vAlign w:val="center"/>
          </w:tcPr>
          <w:p w:rsidR="008556A0" w:rsidRPr="006937C8" w:rsidRDefault="008556A0" w:rsidP="008121DC">
            <w:pPr>
              <w:rPr>
                <w:rFonts w:ascii="Arial" w:hAnsi="Arial"/>
                <w:sz w:val="36"/>
                <w:szCs w:val="36"/>
              </w:rPr>
            </w:pPr>
            <w:r w:rsidRPr="006937C8">
              <w:rPr>
                <w:kern w:val="24"/>
              </w:rPr>
              <w:t xml:space="preserve">Ivar Alvik,Tarjei Bekkedal </w:t>
            </w:r>
          </w:p>
        </w:tc>
      </w:tr>
    </w:tbl>
    <w:p w:rsidR="008556A0" w:rsidRPr="006937C8" w:rsidRDefault="008556A0" w:rsidP="008556A0"/>
    <w:p w:rsidR="008556A0" w:rsidRPr="006937C8" w:rsidRDefault="008556A0" w:rsidP="008556A0">
      <w:r w:rsidRPr="006937C8">
        <w:t>Arne Melchior (</w:t>
      </w:r>
      <w:hyperlink r:id="rId8" w:history="1">
        <w:r w:rsidRPr="006937C8">
          <w:rPr>
            <w:rStyle w:val="Hyperlink"/>
          </w:rPr>
          <w:t>am@nupi.no</w:t>
        </w:r>
      </w:hyperlink>
      <w:r w:rsidRPr="006937C8">
        <w:t xml:space="preserve">) has been project manager and is main contact person for the project. Contact persons at the other institutions are written in italics in the table. </w:t>
      </w:r>
    </w:p>
    <w:p w:rsidR="008556A0" w:rsidRPr="006937C8" w:rsidRDefault="008556A0">
      <w:pPr>
        <w:rPr>
          <w:lang w:eastAsia="zh-TW"/>
        </w:rPr>
      </w:pPr>
      <w:r w:rsidRPr="006937C8">
        <w:rPr>
          <w:lang w:eastAsia="zh-TW"/>
        </w:rPr>
        <w:t>For the project, there has been an inter-ministerial reference group with representatives from several ministries. The consortium had a start-up meeting with the reference group 4 April 2016. Another meeting was held 20 September 2016 for the project mid-term review. We thank the reference group for useful feedback and information.</w:t>
      </w:r>
    </w:p>
    <w:p w:rsidR="00C34621" w:rsidRPr="006937C8" w:rsidRDefault="00C45998" w:rsidP="00CE1B65">
      <w:r w:rsidRPr="006937C8">
        <w:rPr>
          <w:lang w:eastAsia="zh-TW"/>
        </w:rPr>
        <w:t>In the course of the project, a number of persons have contributed with valu</w:t>
      </w:r>
      <w:r w:rsidR="00973BAF" w:rsidRPr="006937C8">
        <w:rPr>
          <w:lang w:eastAsia="zh-TW"/>
        </w:rPr>
        <w:t>a</w:t>
      </w:r>
      <w:r w:rsidRPr="006937C8">
        <w:rPr>
          <w:lang w:eastAsia="zh-TW"/>
        </w:rPr>
        <w:t>ble information for the project.</w:t>
      </w:r>
      <w:r w:rsidR="004F4568" w:rsidRPr="006937C8">
        <w:rPr>
          <w:lang w:eastAsia="zh-TW"/>
        </w:rPr>
        <w:t xml:space="preserve"> </w:t>
      </w:r>
      <w:r w:rsidR="004F4568" w:rsidRPr="006937C8">
        <w:t xml:space="preserve">A number of persons have been involved via e-mail, meetings, telephone or </w:t>
      </w:r>
      <w:r w:rsidR="00B23B08" w:rsidRPr="006937C8">
        <w:t>Skype</w:t>
      </w:r>
      <w:r w:rsidR="004F4568" w:rsidRPr="006937C8">
        <w:t xml:space="preserve"> conversations, or interviews. We thank all these for their time and valuable inputs</w:t>
      </w:r>
      <w:r w:rsidR="00E540C2">
        <w:t xml:space="preserve">. </w:t>
      </w:r>
      <w:r w:rsidR="004F4568" w:rsidRPr="006937C8">
        <w:t xml:space="preserve"> </w:t>
      </w:r>
      <w:r w:rsidR="00CE1B65">
        <w:t xml:space="preserve">Appendix A presents a list of persons. </w:t>
      </w:r>
    </w:p>
    <w:p w:rsidR="00C34621" w:rsidRPr="006937C8" w:rsidRDefault="00CE1B65" w:rsidP="00973BAF">
      <w:r w:rsidRPr="006937C8">
        <w:t>We thank the Ministry for the financial support to the project</w:t>
      </w:r>
      <w:r w:rsidR="00CB1B23">
        <w:t xml:space="preserve"> and also for excellent</w:t>
      </w:r>
      <w:r w:rsidR="00C34621" w:rsidRPr="006937C8">
        <w:t xml:space="preserve"> </w:t>
      </w:r>
      <w:r w:rsidR="00CB1B23">
        <w:t xml:space="preserve">cooperation along the way, with communication, feedback and facilitation of information but without compromising the independence of the project. </w:t>
      </w:r>
      <w:r w:rsidR="00255BDE">
        <w:t>As usual, t</w:t>
      </w:r>
      <w:r w:rsidR="00C34621" w:rsidRPr="006937C8">
        <w:t xml:space="preserve">he responsibility for the text, including all views expressed as well as </w:t>
      </w:r>
      <w:r>
        <w:t xml:space="preserve">any </w:t>
      </w:r>
      <w:r w:rsidR="00C34621" w:rsidRPr="006937C8">
        <w:t xml:space="preserve">remaining errors, stays with the authors. </w:t>
      </w:r>
    </w:p>
    <w:p w:rsidR="00C34621" w:rsidRPr="006937C8" w:rsidRDefault="00C34621" w:rsidP="00973BAF">
      <w:r w:rsidRPr="006937C8">
        <w:t>Oslo, 31 October 2016.</w:t>
      </w:r>
    </w:p>
    <w:p w:rsidR="00C34621" w:rsidRPr="006937C8" w:rsidRDefault="00C34621" w:rsidP="00973BAF">
      <w:r w:rsidRPr="006937C8">
        <w:t xml:space="preserve">Arne Melchior </w:t>
      </w:r>
    </w:p>
    <w:p w:rsidR="00C34621" w:rsidRPr="006937C8" w:rsidRDefault="00C34621" w:rsidP="00973BAF">
      <w:r w:rsidRPr="006937C8">
        <w:t xml:space="preserve">Project Manager  </w:t>
      </w:r>
    </w:p>
    <w:p w:rsidR="00C34621" w:rsidRPr="006937C8" w:rsidRDefault="00C34621" w:rsidP="00973BAF"/>
    <w:p w:rsidR="0032062A" w:rsidRPr="006937C8" w:rsidRDefault="0032062A" w:rsidP="00973BAF"/>
    <w:tbl>
      <w:tblPr>
        <w:tblStyle w:val="TableGrid"/>
        <w:tblpPr w:leftFromText="141" w:rightFromText="141" w:horzAnchor="margin" w:tblpY="1090"/>
        <w:tblW w:w="88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tblPr>
      <w:tblGrid>
        <w:gridCol w:w="1384"/>
        <w:gridCol w:w="5245"/>
        <w:gridCol w:w="1559"/>
        <w:gridCol w:w="709"/>
      </w:tblGrid>
      <w:tr w:rsidR="00B81CF0" w:rsidTr="001560D9">
        <w:tc>
          <w:tcPr>
            <w:tcW w:w="1384" w:type="dxa"/>
          </w:tcPr>
          <w:p w:rsidR="00B81CF0" w:rsidRDefault="00B81CF0" w:rsidP="00B81CF0"/>
        </w:tc>
        <w:tc>
          <w:tcPr>
            <w:tcW w:w="5245" w:type="dxa"/>
          </w:tcPr>
          <w:p w:rsidR="00B81CF0" w:rsidRDefault="00B81CF0" w:rsidP="00B81CF0">
            <w:r>
              <w:t>Title</w:t>
            </w:r>
          </w:p>
        </w:tc>
        <w:tc>
          <w:tcPr>
            <w:tcW w:w="1559" w:type="dxa"/>
            <w:vAlign w:val="center"/>
          </w:tcPr>
          <w:p w:rsidR="00B81CF0" w:rsidRDefault="00B81CF0" w:rsidP="00B81CF0">
            <w:r>
              <w:t>Contributors</w:t>
            </w:r>
          </w:p>
        </w:tc>
        <w:tc>
          <w:tcPr>
            <w:tcW w:w="709" w:type="dxa"/>
          </w:tcPr>
          <w:p w:rsidR="00B81CF0" w:rsidRDefault="00B81CF0" w:rsidP="00B81CF0">
            <w:r>
              <w:t>Page</w:t>
            </w:r>
          </w:p>
        </w:tc>
      </w:tr>
      <w:tr w:rsidR="001560D9" w:rsidTr="001560D9">
        <w:tc>
          <w:tcPr>
            <w:tcW w:w="1384" w:type="dxa"/>
          </w:tcPr>
          <w:p w:rsidR="001560D9" w:rsidRDefault="001560D9" w:rsidP="00B81CF0"/>
        </w:tc>
        <w:tc>
          <w:tcPr>
            <w:tcW w:w="5245" w:type="dxa"/>
          </w:tcPr>
          <w:p w:rsidR="001560D9" w:rsidRDefault="001560D9" w:rsidP="00B81CF0">
            <w:r>
              <w:t>Abstract</w:t>
            </w:r>
          </w:p>
        </w:tc>
        <w:tc>
          <w:tcPr>
            <w:tcW w:w="1559" w:type="dxa"/>
            <w:vMerge w:val="restart"/>
            <w:vAlign w:val="center"/>
          </w:tcPr>
          <w:p w:rsidR="001560D9" w:rsidRDefault="001560D9" w:rsidP="00B81CF0">
            <w:r>
              <w:t>Melchior</w:t>
            </w:r>
          </w:p>
        </w:tc>
        <w:tc>
          <w:tcPr>
            <w:tcW w:w="709" w:type="dxa"/>
          </w:tcPr>
          <w:p w:rsidR="001560D9" w:rsidRDefault="001560D9" w:rsidP="00B81CF0"/>
        </w:tc>
      </w:tr>
      <w:tr w:rsidR="001560D9" w:rsidTr="001560D9">
        <w:tc>
          <w:tcPr>
            <w:tcW w:w="1384" w:type="dxa"/>
          </w:tcPr>
          <w:p w:rsidR="001560D9" w:rsidRDefault="001560D9" w:rsidP="00B81CF0"/>
        </w:tc>
        <w:tc>
          <w:tcPr>
            <w:tcW w:w="5245" w:type="dxa"/>
          </w:tcPr>
          <w:p w:rsidR="001560D9" w:rsidRDefault="0026271C" w:rsidP="0026271C">
            <w:r>
              <w:t>S</w:t>
            </w:r>
            <w:r w:rsidR="001560D9">
              <w:t xml:space="preserve">ummary and </w:t>
            </w:r>
            <w:r>
              <w:t>implications</w:t>
            </w:r>
          </w:p>
        </w:tc>
        <w:tc>
          <w:tcPr>
            <w:tcW w:w="1559" w:type="dxa"/>
            <w:vMerge/>
            <w:vAlign w:val="center"/>
          </w:tcPr>
          <w:p w:rsidR="001560D9" w:rsidRDefault="001560D9" w:rsidP="00B81CF0"/>
        </w:tc>
        <w:tc>
          <w:tcPr>
            <w:tcW w:w="709" w:type="dxa"/>
          </w:tcPr>
          <w:p w:rsidR="001560D9" w:rsidRDefault="001560D9" w:rsidP="00B81CF0"/>
        </w:tc>
      </w:tr>
      <w:tr w:rsidR="001560D9" w:rsidTr="001560D9">
        <w:tc>
          <w:tcPr>
            <w:tcW w:w="1384" w:type="dxa"/>
          </w:tcPr>
          <w:p w:rsidR="001560D9" w:rsidRDefault="001560D9" w:rsidP="00B81CF0">
            <w:r>
              <w:t>Chapter 1</w:t>
            </w:r>
          </w:p>
        </w:tc>
        <w:tc>
          <w:tcPr>
            <w:tcW w:w="5245" w:type="dxa"/>
          </w:tcPr>
          <w:p w:rsidR="001560D9" w:rsidRDefault="001560D9" w:rsidP="00B81CF0">
            <w:r>
              <w:t>Introduction – a study on TTIP and beyond</w:t>
            </w:r>
          </w:p>
        </w:tc>
        <w:tc>
          <w:tcPr>
            <w:tcW w:w="1559" w:type="dxa"/>
            <w:vMerge/>
            <w:vAlign w:val="center"/>
          </w:tcPr>
          <w:p w:rsidR="001560D9" w:rsidRDefault="001560D9" w:rsidP="00B81CF0"/>
        </w:tc>
        <w:tc>
          <w:tcPr>
            <w:tcW w:w="709" w:type="dxa"/>
          </w:tcPr>
          <w:p w:rsidR="001560D9" w:rsidRDefault="001560D9" w:rsidP="00B81CF0"/>
        </w:tc>
      </w:tr>
      <w:tr w:rsidR="001560D9" w:rsidTr="001560D9">
        <w:tc>
          <w:tcPr>
            <w:tcW w:w="1384" w:type="dxa"/>
          </w:tcPr>
          <w:p w:rsidR="001560D9" w:rsidRDefault="001560D9" w:rsidP="00B81CF0">
            <w:r>
              <w:t>2</w:t>
            </w:r>
          </w:p>
        </w:tc>
        <w:tc>
          <w:tcPr>
            <w:tcW w:w="5245" w:type="dxa"/>
          </w:tcPr>
          <w:p w:rsidR="001560D9" w:rsidRDefault="001560D9" w:rsidP="00B81CF0">
            <w:r>
              <w:t>TTIP – ambitions and prospects</w:t>
            </w:r>
          </w:p>
        </w:tc>
        <w:tc>
          <w:tcPr>
            <w:tcW w:w="1559" w:type="dxa"/>
            <w:vMerge/>
            <w:vAlign w:val="center"/>
          </w:tcPr>
          <w:p w:rsidR="001560D9" w:rsidRDefault="001560D9" w:rsidP="00B81CF0"/>
        </w:tc>
        <w:tc>
          <w:tcPr>
            <w:tcW w:w="709" w:type="dxa"/>
          </w:tcPr>
          <w:p w:rsidR="001560D9" w:rsidRDefault="001560D9" w:rsidP="00B81CF0"/>
        </w:tc>
      </w:tr>
      <w:tr w:rsidR="001560D9" w:rsidTr="001560D9">
        <w:tc>
          <w:tcPr>
            <w:tcW w:w="1384" w:type="dxa"/>
          </w:tcPr>
          <w:p w:rsidR="001560D9" w:rsidRDefault="001560D9" w:rsidP="00B81CF0">
            <w:r>
              <w:t>2.1</w:t>
            </w:r>
          </w:p>
        </w:tc>
        <w:tc>
          <w:tcPr>
            <w:tcW w:w="5245" w:type="dxa"/>
          </w:tcPr>
          <w:p w:rsidR="001560D9" w:rsidRDefault="001560D9" w:rsidP="00B81CF0">
            <w:r>
              <w:t>TTIP – what is it all about?</w:t>
            </w:r>
          </w:p>
        </w:tc>
        <w:tc>
          <w:tcPr>
            <w:tcW w:w="1559" w:type="dxa"/>
            <w:vMerge/>
            <w:vAlign w:val="center"/>
          </w:tcPr>
          <w:p w:rsidR="001560D9" w:rsidRDefault="001560D9" w:rsidP="00B81CF0"/>
        </w:tc>
        <w:tc>
          <w:tcPr>
            <w:tcW w:w="709" w:type="dxa"/>
          </w:tcPr>
          <w:p w:rsidR="001560D9" w:rsidRDefault="001560D9" w:rsidP="00B81CF0"/>
        </w:tc>
      </w:tr>
      <w:tr w:rsidR="001560D9" w:rsidTr="001560D9">
        <w:tc>
          <w:tcPr>
            <w:tcW w:w="1384" w:type="dxa"/>
          </w:tcPr>
          <w:p w:rsidR="001560D9" w:rsidRDefault="001560D9" w:rsidP="00B81CF0">
            <w:r>
              <w:t xml:space="preserve">2.2 </w:t>
            </w:r>
          </w:p>
        </w:tc>
        <w:tc>
          <w:tcPr>
            <w:tcW w:w="5245" w:type="dxa"/>
          </w:tcPr>
          <w:p w:rsidR="001560D9" w:rsidRDefault="001560D9" w:rsidP="00B81CF0">
            <w:r>
              <w:t>When will there be TTIP? The politics of TTIP</w:t>
            </w:r>
          </w:p>
        </w:tc>
        <w:tc>
          <w:tcPr>
            <w:tcW w:w="1559" w:type="dxa"/>
            <w:vMerge/>
            <w:vAlign w:val="center"/>
          </w:tcPr>
          <w:p w:rsidR="001560D9" w:rsidRDefault="001560D9" w:rsidP="00B81CF0"/>
        </w:tc>
        <w:tc>
          <w:tcPr>
            <w:tcW w:w="709" w:type="dxa"/>
          </w:tcPr>
          <w:p w:rsidR="001560D9" w:rsidRDefault="001560D9" w:rsidP="00B81CF0"/>
        </w:tc>
      </w:tr>
      <w:tr w:rsidR="001560D9" w:rsidTr="001560D9">
        <w:tc>
          <w:tcPr>
            <w:tcW w:w="1384" w:type="dxa"/>
          </w:tcPr>
          <w:p w:rsidR="001560D9" w:rsidRDefault="001560D9" w:rsidP="00B81CF0">
            <w:r>
              <w:t>2.3</w:t>
            </w:r>
          </w:p>
        </w:tc>
        <w:tc>
          <w:tcPr>
            <w:tcW w:w="5245" w:type="dxa"/>
          </w:tcPr>
          <w:p w:rsidR="001560D9" w:rsidRDefault="001560D9" w:rsidP="00B81CF0">
            <w:r>
              <w:t>What will TTIP look like?</w:t>
            </w:r>
          </w:p>
        </w:tc>
        <w:tc>
          <w:tcPr>
            <w:tcW w:w="1559" w:type="dxa"/>
            <w:vMerge/>
            <w:vAlign w:val="center"/>
          </w:tcPr>
          <w:p w:rsidR="001560D9" w:rsidRDefault="001560D9" w:rsidP="00B81CF0"/>
        </w:tc>
        <w:tc>
          <w:tcPr>
            <w:tcW w:w="709" w:type="dxa"/>
          </w:tcPr>
          <w:p w:rsidR="001560D9" w:rsidRDefault="001560D9" w:rsidP="00B81CF0"/>
        </w:tc>
      </w:tr>
      <w:tr w:rsidR="001560D9" w:rsidTr="001560D9">
        <w:tc>
          <w:tcPr>
            <w:tcW w:w="1384" w:type="dxa"/>
          </w:tcPr>
          <w:p w:rsidR="001560D9" w:rsidRDefault="001560D9" w:rsidP="00B81CF0">
            <w:r>
              <w:t>Chapter 3</w:t>
            </w:r>
          </w:p>
        </w:tc>
        <w:tc>
          <w:tcPr>
            <w:tcW w:w="5245" w:type="dxa"/>
          </w:tcPr>
          <w:p w:rsidR="001560D9" w:rsidRDefault="001560D9" w:rsidP="00B81CF0">
            <w:r>
              <w:t>TTIP and Norway’s options</w:t>
            </w:r>
          </w:p>
        </w:tc>
        <w:tc>
          <w:tcPr>
            <w:tcW w:w="1559" w:type="dxa"/>
            <w:vMerge/>
            <w:vAlign w:val="center"/>
          </w:tcPr>
          <w:p w:rsidR="001560D9" w:rsidRDefault="001560D9" w:rsidP="00B81CF0"/>
        </w:tc>
        <w:tc>
          <w:tcPr>
            <w:tcW w:w="709" w:type="dxa"/>
          </w:tcPr>
          <w:p w:rsidR="001560D9" w:rsidRDefault="001560D9" w:rsidP="00B81CF0"/>
        </w:tc>
      </w:tr>
      <w:tr w:rsidR="001560D9" w:rsidTr="001560D9">
        <w:tc>
          <w:tcPr>
            <w:tcW w:w="1384" w:type="dxa"/>
          </w:tcPr>
          <w:p w:rsidR="001560D9" w:rsidRDefault="001560D9" w:rsidP="00B81CF0">
            <w:r>
              <w:t>3.1</w:t>
            </w:r>
          </w:p>
        </w:tc>
        <w:tc>
          <w:tcPr>
            <w:tcW w:w="5245" w:type="dxa"/>
          </w:tcPr>
          <w:p w:rsidR="001560D9" w:rsidRDefault="001560D9" w:rsidP="00B81CF0">
            <w:r>
              <w:t>TTIP only</w:t>
            </w:r>
          </w:p>
        </w:tc>
        <w:tc>
          <w:tcPr>
            <w:tcW w:w="1559" w:type="dxa"/>
            <w:vMerge/>
            <w:vAlign w:val="center"/>
          </w:tcPr>
          <w:p w:rsidR="001560D9" w:rsidRDefault="001560D9" w:rsidP="00B81CF0"/>
        </w:tc>
        <w:tc>
          <w:tcPr>
            <w:tcW w:w="709" w:type="dxa"/>
          </w:tcPr>
          <w:p w:rsidR="001560D9" w:rsidRDefault="001560D9" w:rsidP="00B81CF0"/>
        </w:tc>
      </w:tr>
      <w:tr w:rsidR="001560D9" w:rsidTr="001560D9">
        <w:tc>
          <w:tcPr>
            <w:tcW w:w="1384" w:type="dxa"/>
          </w:tcPr>
          <w:p w:rsidR="001560D9" w:rsidRDefault="001560D9" w:rsidP="00B81CF0">
            <w:r>
              <w:t>3.2</w:t>
            </w:r>
          </w:p>
        </w:tc>
        <w:tc>
          <w:tcPr>
            <w:tcW w:w="5245" w:type="dxa"/>
          </w:tcPr>
          <w:p w:rsidR="001560D9" w:rsidRDefault="001560D9" w:rsidP="00B81CF0">
            <w:r>
              <w:t>Norway or EFTA acceding TTIP</w:t>
            </w:r>
          </w:p>
        </w:tc>
        <w:tc>
          <w:tcPr>
            <w:tcW w:w="1559" w:type="dxa"/>
            <w:vMerge/>
            <w:vAlign w:val="center"/>
          </w:tcPr>
          <w:p w:rsidR="001560D9" w:rsidRDefault="001560D9" w:rsidP="00B81CF0"/>
        </w:tc>
        <w:tc>
          <w:tcPr>
            <w:tcW w:w="709" w:type="dxa"/>
          </w:tcPr>
          <w:p w:rsidR="001560D9" w:rsidRDefault="001560D9" w:rsidP="00B81CF0"/>
        </w:tc>
      </w:tr>
      <w:tr w:rsidR="001560D9" w:rsidTr="001560D9">
        <w:tc>
          <w:tcPr>
            <w:tcW w:w="1384" w:type="dxa"/>
          </w:tcPr>
          <w:p w:rsidR="001560D9" w:rsidRDefault="001560D9" w:rsidP="00B81CF0">
            <w:r>
              <w:t>3.3</w:t>
            </w:r>
          </w:p>
        </w:tc>
        <w:tc>
          <w:tcPr>
            <w:tcW w:w="5245" w:type="dxa"/>
          </w:tcPr>
          <w:p w:rsidR="001560D9" w:rsidRDefault="001560D9" w:rsidP="00B81CF0">
            <w:r>
              <w:t>FTA with the USA</w:t>
            </w:r>
          </w:p>
        </w:tc>
        <w:tc>
          <w:tcPr>
            <w:tcW w:w="1559" w:type="dxa"/>
            <w:vMerge/>
            <w:vAlign w:val="center"/>
          </w:tcPr>
          <w:p w:rsidR="001560D9" w:rsidRDefault="001560D9" w:rsidP="00B81CF0"/>
        </w:tc>
        <w:tc>
          <w:tcPr>
            <w:tcW w:w="709" w:type="dxa"/>
          </w:tcPr>
          <w:p w:rsidR="001560D9" w:rsidRDefault="001560D9" w:rsidP="00B81CF0"/>
        </w:tc>
      </w:tr>
      <w:tr w:rsidR="00B81CF0" w:rsidTr="001560D9">
        <w:tc>
          <w:tcPr>
            <w:tcW w:w="1384" w:type="dxa"/>
          </w:tcPr>
          <w:p w:rsidR="00B81CF0" w:rsidRDefault="00CD6C05" w:rsidP="00B81CF0">
            <w:r>
              <w:t>3.4</w:t>
            </w:r>
          </w:p>
        </w:tc>
        <w:tc>
          <w:tcPr>
            <w:tcW w:w="5245" w:type="dxa"/>
          </w:tcPr>
          <w:p w:rsidR="00B81CF0" w:rsidRDefault="00CD6C05" w:rsidP="004120CB">
            <w:r>
              <w:t xml:space="preserve">Constitutional </w:t>
            </w:r>
            <w:r w:rsidR="004120CB">
              <w:t>aspects of</w:t>
            </w:r>
            <w:r>
              <w:t xml:space="preserve"> Norway’s agreements</w:t>
            </w:r>
          </w:p>
        </w:tc>
        <w:tc>
          <w:tcPr>
            <w:tcW w:w="1559" w:type="dxa"/>
            <w:vAlign w:val="center"/>
          </w:tcPr>
          <w:p w:rsidR="00B81CF0" w:rsidRDefault="00CD6C05" w:rsidP="00B81CF0">
            <w:r>
              <w:t>Alvik/Bekkedal</w:t>
            </w:r>
          </w:p>
        </w:tc>
        <w:tc>
          <w:tcPr>
            <w:tcW w:w="709" w:type="dxa"/>
          </w:tcPr>
          <w:p w:rsidR="00B81CF0" w:rsidRDefault="00B81CF0" w:rsidP="00B81CF0"/>
        </w:tc>
      </w:tr>
      <w:tr w:rsidR="00B81CF0" w:rsidTr="001560D9">
        <w:tc>
          <w:tcPr>
            <w:tcW w:w="1384" w:type="dxa"/>
          </w:tcPr>
          <w:p w:rsidR="00B81CF0" w:rsidRDefault="00CD6C05" w:rsidP="00B81CF0">
            <w:r>
              <w:t>3.5</w:t>
            </w:r>
          </w:p>
        </w:tc>
        <w:tc>
          <w:tcPr>
            <w:tcW w:w="5245" w:type="dxa"/>
          </w:tcPr>
          <w:p w:rsidR="00B81CF0" w:rsidRDefault="00CD6C05" w:rsidP="00B81CF0">
            <w:r>
              <w:t>Summing up: Norway’s options facing TTIP</w:t>
            </w:r>
          </w:p>
        </w:tc>
        <w:tc>
          <w:tcPr>
            <w:tcW w:w="1559" w:type="dxa"/>
            <w:vAlign w:val="center"/>
          </w:tcPr>
          <w:p w:rsidR="00B81CF0" w:rsidRDefault="001560D9" w:rsidP="00B81CF0">
            <w:r>
              <w:t>Melchior</w:t>
            </w:r>
          </w:p>
        </w:tc>
        <w:tc>
          <w:tcPr>
            <w:tcW w:w="709" w:type="dxa"/>
          </w:tcPr>
          <w:p w:rsidR="00B81CF0" w:rsidRDefault="00B81CF0" w:rsidP="00B81CF0"/>
        </w:tc>
      </w:tr>
      <w:tr w:rsidR="00CD6C05" w:rsidTr="001560D9">
        <w:tc>
          <w:tcPr>
            <w:tcW w:w="1384" w:type="dxa"/>
          </w:tcPr>
          <w:p w:rsidR="00CD6C05" w:rsidRDefault="00CD6C05" w:rsidP="00B81CF0">
            <w:r>
              <w:t>Chapter 4</w:t>
            </w:r>
          </w:p>
        </w:tc>
        <w:tc>
          <w:tcPr>
            <w:tcW w:w="5245" w:type="dxa"/>
          </w:tcPr>
          <w:p w:rsidR="00CD6C05" w:rsidRDefault="00CD6C05" w:rsidP="00B81CF0">
            <w:r>
              <w:t>TTIP – the economic impact on Norway</w:t>
            </w:r>
          </w:p>
        </w:tc>
        <w:tc>
          <w:tcPr>
            <w:tcW w:w="1559" w:type="dxa"/>
            <w:vMerge w:val="restart"/>
            <w:vAlign w:val="center"/>
          </w:tcPr>
          <w:p w:rsidR="00CD6C05" w:rsidRDefault="00CD6C05" w:rsidP="00B81CF0">
            <w:r>
              <w:t>Felbermayr</w:t>
            </w:r>
          </w:p>
        </w:tc>
        <w:tc>
          <w:tcPr>
            <w:tcW w:w="709" w:type="dxa"/>
          </w:tcPr>
          <w:p w:rsidR="00CD6C05" w:rsidRDefault="00CD6C05" w:rsidP="00B81CF0"/>
        </w:tc>
      </w:tr>
      <w:tr w:rsidR="00CD6C05" w:rsidTr="001560D9">
        <w:tc>
          <w:tcPr>
            <w:tcW w:w="1384" w:type="dxa"/>
          </w:tcPr>
          <w:p w:rsidR="00CD6C05" w:rsidRDefault="00CD6C05" w:rsidP="00B81CF0">
            <w:r>
              <w:t>4.1</w:t>
            </w:r>
          </w:p>
        </w:tc>
        <w:tc>
          <w:tcPr>
            <w:tcW w:w="5245" w:type="dxa"/>
          </w:tcPr>
          <w:p w:rsidR="00CD6C05" w:rsidRDefault="00CD6C05" w:rsidP="00B81CF0">
            <w:r>
              <w:t>Other studies on TTIP</w:t>
            </w:r>
          </w:p>
        </w:tc>
        <w:tc>
          <w:tcPr>
            <w:tcW w:w="1559" w:type="dxa"/>
            <w:vMerge/>
            <w:vAlign w:val="center"/>
          </w:tcPr>
          <w:p w:rsidR="00CD6C05" w:rsidRDefault="00CD6C05" w:rsidP="00B81CF0"/>
        </w:tc>
        <w:tc>
          <w:tcPr>
            <w:tcW w:w="709" w:type="dxa"/>
          </w:tcPr>
          <w:p w:rsidR="00CD6C05" w:rsidRDefault="00CD6C05" w:rsidP="00B81CF0"/>
        </w:tc>
      </w:tr>
      <w:tr w:rsidR="00CD6C05" w:rsidTr="001560D9">
        <w:tc>
          <w:tcPr>
            <w:tcW w:w="1384" w:type="dxa"/>
          </w:tcPr>
          <w:p w:rsidR="00CD6C05" w:rsidRDefault="00CD6C05" w:rsidP="00B81CF0">
            <w:r>
              <w:t>4.2</w:t>
            </w:r>
          </w:p>
        </w:tc>
        <w:tc>
          <w:tcPr>
            <w:tcW w:w="5245" w:type="dxa"/>
          </w:tcPr>
          <w:p w:rsidR="00CD6C05" w:rsidRDefault="00CD6C05" w:rsidP="00CD6C05">
            <w:r>
              <w:t>Presentation of model</w:t>
            </w:r>
          </w:p>
        </w:tc>
        <w:tc>
          <w:tcPr>
            <w:tcW w:w="1559" w:type="dxa"/>
            <w:vMerge/>
            <w:vAlign w:val="center"/>
          </w:tcPr>
          <w:p w:rsidR="00CD6C05" w:rsidRDefault="00CD6C05" w:rsidP="00B81CF0"/>
        </w:tc>
        <w:tc>
          <w:tcPr>
            <w:tcW w:w="709" w:type="dxa"/>
          </w:tcPr>
          <w:p w:rsidR="00CD6C05" w:rsidRDefault="00CD6C05" w:rsidP="00B81CF0"/>
        </w:tc>
      </w:tr>
      <w:tr w:rsidR="00CD6C05" w:rsidTr="001560D9">
        <w:tc>
          <w:tcPr>
            <w:tcW w:w="1384" w:type="dxa"/>
          </w:tcPr>
          <w:p w:rsidR="00CD6C05" w:rsidRDefault="00CD6C05" w:rsidP="00B81CF0">
            <w:r>
              <w:t>4.3</w:t>
            </w:r>
          </w:p>
        </w:tc>
        <w:tc>
          <w:tcPr>
            <w:tcW w:w="5245" w:type="dxa"/>
          </w:tcPr>
          <w:p w:rsidR="00CD6C05" w:rsidRDefault="00CD6C05" w:rsidP="00B81CF0">
            <w:r>
              <w:t>Presentation of results</w:t>
            </w:r>
          </w:p>
        </w:tc>
        <w:tc>
          <w:tcPr>
            <w:tcW w:w="1559" w:type="dxa"/>
            <w:vMerge/>
            <w:vAlign w:val="center"/>
          </w:tcPr>
          <w:p w:rsidR="00CD6C05" w:rsidRDefault="00CD6C05" w:rsidP="00B81CF0"/>
        </w:tc>
        <w:tc>
          <w:tcPr>
            <w:tcW w:w="709" w:type="dxa"/>
          </w:tcPr>
          <w:p w:rsidR="00CD6C05" w:rsidRDefault="00CD6C05" w:rsidP="00B81CF0"/>
        </w:tc>
      </w:tr>
      <w:tr w:rsidR="00B81CF0" w:rsidTr="001560D9">
        <w:tc>
          <w:tcPr>
            <w:tcW w:w="1384" w:type="dxa"/>
          </w:tcPr>
          <w:p w:rsidR="00B81CF0" w:rsidRDefault="00CD6C05" w:rsidP="00B81CF0">
            <w:r>
              <w:t>Chapter 5</w:t>
            </w:r>
          </w:p>
        </w:tc>
        <w:tc>
          <w:tcPr>
            <w:tcW w:w="5245" w:type="dxa"/>
          </w:tcPr>
          <w:p w:rsidR="00B81CF0" w:rsidRDefault="00CD6C05" w:rsidP="00B81CF0">
            <w:r>
              <w:t>TTIP – the role of trade versus investment</w:t>
            </w:r>
          </w:p>
        </w:tc>
        <w:tc>
          <w:tcPr>
            <w:tcW w:w="1559" w:type="dxa"/>
            <w:vAlign w:val="center"/>
          </w:tcPr>
          <w:p w:rsidR="00B81CF0" w:rsidRDefault="00B81CF0" w:rsidP="00B81CF0"/>
        </w:tc>
        <w:tc>
          <w:tcPr>
            <w:tcW w:w="709" w:type="dxa"/>
          </w:tcPr>
          <w:p w:rsidR="00B81CF0" w:rsidRDefault="00B81CF0" w:rsidP="00B81CF0"/>
        </w:tc>
      </w:tr>
      <w:tr w:rsidR="00B81CF0" w:rsidTr="001560D9">
        <w:tc>
          <w:tcPr>
            <w:tcW w:w="1384" w:type="dxa"/>
          </w:tcPr>
          <w:p w:rsidR="00B81CF0" w:rsidRDefault="00CD6C05" w:rsidP="00B81CF0">
            <w:r>
              <w:t>5.1</w:t>
            </w:r>
          </w:p>
        </w:tc>
        <w:tc>
          <w:tcPr>
            <w:tcW w:w="5245" w:type="dxa"/>
          </w:tcPr>
          <w:p w:rsidR="00B81CF0" w:rsidRDefault="00CD6C05" w:rsidP="001560D9">
            <w:r>
              <w:t>Trade</w:t>
            </w:r>
            <w:r w:rsidR="001560D9">
              <w:t xml:space="preserve"> and </w:t>
            </w:r>
            <w:r>
              <w:t>investment</w:t>
            </w:r>
            <w:r w:rsidR="001560D9">
              <w:t xml:space="preserve"> </w:t>
            </w:r>
            <w:r>
              <w:t xml:space="preserve">– new evidence for </w:t>
            </w:r>
            <w:r w:rsidR="001560D9">
              <w:t>N</w:t>
            </w:r>
            <w:r>
              <w:t>orway</w:t>
            </w:r>
          </w:p>
        </w:tc>
        <w:tc>
          <w:tcPr>
            <w:tcW w:w="1559" w:type="dxa"/>
            <w:vAlign w:val="center"/>
          </w:tcPr>
          <w:p w:rsidR="00B81CF0" w:rsidRDefault="001560D9" w:rsidP="00B81CF0">
            <w:r>
              <w:t>Melchior</w:t>
            </w:r>
          </w:p>
        </w:tc>
        <w:tc>
          <w:tcPr>
            <w:tcW w:w="709" w:type="dxa"/>
          </w:tcPr>
          <w:p w:rsidR="00B81CF0" w:rsidRDefault="00B81CF0" w:rsidP="00B81CF0"/>
        </w:tc>
      </w:tr>
      <w:tr w:rsidR="00CD6C05" w:rsidTr="001560D9">
        <w:tc>
          <w:tcPr>
            <w:tcW w:w="1384" w:type="dxa"/>
          </w:tcPr>
          <w:p w:rsidR="00CD6C05" w:rsidRDefault="00CD6C05" w:rsidP="00B81CF0">
            <w:r>
              <w:t>5.2</w:t>
            </w:r>
          </w:p>
        </w:tc>
        <w:tc>
          <w:tcPr>
            <w:tcW w:w="5245" w:type="dxa"/>
          </w:tcPr>
          <w:p w:rsidR="00CD6C05" w:rsidRDefault="00CD6C05" w:rsidP="00B81CF0">
            <w:r>
              <w:t>More on Norway’s FDI</w:t>
            </w:r>
          </w:p>
        </w:tc>
        <w:tc>
          <w:tcPr>
            <w:tcW w:w="1559" w:type="dxa"/>
            <w:vMerge w:val="restart"/>
            <w:vAlign w:val="center"/>
          </w:tcPr>
          <w:p w:rsidR="00CD6C05" w:rsidRDefault="00CD6C05" w:rsidP="00B81CF0">
            <w:r>
              <w:t>Medin</w:t>
            </w:r>
          </w:p>
        </w:tc>
        <w:tc>
          <w:tcPr>
            <w:tcW w:w="709" w:type="dxa"/>
          </w:tcPr>
          <w:p w:rsidR="00CD6C05" w:rsidRDefault="00CD6C05" w:rsidP="00B81CF0"/>
        </w:tc>
      </w:tr>
      <w:tr w:rsidR="00CD6C05" w:rsidTr="001560D9">
        <w:tc>
          <w:tcPr>
            <w:tcW w:w="1384" w:type="dxa"/>
          </w:tcPr>
          <w:p w:rsidR="00CD6C05" w:rsidRDefault="00CD6C05" w:rsidP="00B81CF0">
            <w:r>
              <w:t>5.3</w:t>
            </w:r>
          </w:p>
        </w:tc>
        <w:tc>
          <w:tcPr>
            <w:tcW w:w="5245" w:type="dxa"/>
          </w:tcPr>
          <w:p w:rsidR="00CD6C05" w:rsidRDefault="00CD6C05" w:rsidP="00B05A4F">
            <w:r>
              <w:t>Impact of a</w:t>
            </w:r>
            <w:r w:rsidR="00B05A4F">
              <w:t xml:space="preserve"> Norway-USA</w:t>
            </w:r>
            <w:r>
              <w:t xml:space="preserve"> investment agreement </w:t>
            </w:r>
          </w:p>
        </w:tc>
        <w:tc>
          <w:tcPr>
            <w:tcW w:w="1559" w:type="dxa"/>
            <w:vMerge/>
            <w:vAlign w:val="center"/>
          </w:tcPr>
          <w:p w:rsidR="00CD6C05" w:rsidRDefault="00CD6C05" w:rsidP="00B81CF0"/>
        </w:tc>
        <w:tc>
          <w:tcPr>
            <w:tcW w:w="709" w:type="dxa"/>
          </w:tcPr>
          <w:p w:rsidR="00CD6C05" w:rsidRDefault="00CD6C05" w:rsidP="00B81CF0"/>
        </w:tc>
      </w:tr>
      <w:tr w:rsidR="00CD6C05" w:rsidTr="001560D9">
        <w:tc>
          <w:tcPr>
            <w:tcW w:w="1384" w:type="dxa"/>
          </w:tcPr>
          <w:p w:rsidR="00CD6C05" w:rsidRDefault="00CD6C05" w:rsidP="00B81CF0">
            <w:r>
              <w:t>Chapter 6</w:t>
            </w:r>
          </w:p>
        </w:tc>
        <w:tc>
          <w:tcPr>
            <w:tcW w:w="5245" w:type="dxa"/>
          </w:tcPr>
          <w:p w:rsidR="00CD6C05" w:rsidRDefault="00CD6C05" w:rsidP="00B81CF0">
            <w:r>
              <w:t>Investment protection and investor-state dispute settlement in TTIP</w:t>
            </w:r>
          </w:p>
        </w:tc>
        <w:tc>
          <w:tcPr>
            <w:tcW w:w="1559" w:type="dxa"/>
            <w:vMerge w:val="restart"/>
            <w:vAlign w:val="center"/>
          </w:tcPr>
          <w:p w:rsidR="00CD6C05" w:rsidRDefault="00CD6C05" w:rsidP="00B81CF0">
            <w:r>
              <w:t>Alvik/Bekkedal</w:t>
            </w:r>
          </w:p>
        </w:tc>
        <w:tc>
          <w:tcPr>
            <w:tcW w:w="709" w:type="dxa"/>
          </w:tcPr>
          <w:p w:rsidR="00CD6C05" w:rsidRDefault="00CD6C05" w:rsidP="00B81CF0"/>
        </w:tc>
      </w:tr>
      <w:tr w:rsidR="00CD6C05" w:rsidTr="001560D9">
        <w:tc>
          <w:tcPr>
            <w:tcW w:w="1384" w:type="dxa"/>
          </w:tcPr>
          <w:p w:rsidR="00CD6C05" w:rsidRDefault="00CD6C05" w:rsidP="00B81CF0">
            <w:r>
              <w:t>6.1</w:t>
            </w:r>
          </w:p>
        </w:tc>
        <w:tc>
          <w:tcPr>
            <w:tcW w:w="5245" w:type="dxa"/>
          </w:tcPr>
          <w:p w:rsidR="00CD6C05" w:rsidRDefault="00CD6C05" w:rsidP="00B81CF0">
            <w:r>
              <w:t>Introduction</w:t>
            </w:r>
          </w:p>
        </w:tc>
        <w:tc>
          <w:tcPr>
            <w:tcW w:w="1559" w:type="dxa"/>
            <w:vMerge/>
            <w:vAlign w:val="center"/>
          </w:tcPr>
          <w:p w:rsidR="00CD6C05" w:rsidRDefault="00CD6C05" w:rsidP="00B81CF0"/>
        </w:tc>
        <w:tc>
          <w:tcPr>
            <w:tcW w:w="709" w:type="dxa"/>
          </w:tcPr>
          <w:p w:rsidR="00CD6C05" w:rsidRDefault="00CD6C05" w:rsidP="00B81CF0"/>
        </w:tc>
      </w:tr>
      <w:tr w:rsidR="00CD6C05" w:rsidTr="001560D9">
        <w:tc>
          <w:tcPr>
            <w:tcW w:w="1384" w:type="dxa"/>
          </w:tcPr>
          <w:p w:rsidR="00CD6C05" w:rsidRDefault="00CD6C05" w:rsidP="00B81CF0">
            <w:r>
              <w:t>6.2</w:t>
            </w:r>
          </w:p>
        </w:tc>
        <w:tc>
          <w:tcPr>
            <w:tcW w:w="5245" w:type="dxa"/>
          </w:tcPr>
          <w:p w:rsidR="00CD6C05" w:rsidRDefault="00CD6C05" w:rsidP="00B81CF0">
            <w:r>
              <w:t>How will investment rules be in TTIP?</w:t>
            </w:r>
          </w:p>
        </w:tc>
        <w:tc>
          <w:tcPr>
            <w:tcW w:w="1559" w:type="dxa"/>
            <w:vMerge/>
            <w:vAlign w:val="center"/>
          </w:tcPr>
          <w:p w:rsidR="00CD6C05" w:rsidRDefault="00CD6C05" w:rsidP="00B81CF0"/>
        </w:tc>
        <w:tc>
          <w:tcPr>
            <w:tcW w:w="709" w:type="dxa"/>
          </w:tcPr>
          <w:p w:rsidR="00CD6C05" w:rsidRDefault="00CD6C05" w:rsidP="00B81CF0"/>
        </w:tc>
      </w:tr>
      <w:tr w:rsidR="00CD6C05" w:rsidTr="001560D9">
        <w:tc>
          <w:tcPr>
            <w:tcW w:w="1384" w:type="dxa"/>
          </w:tcPr>
          <w:p w:rsidR="00CD6C05" w:rsidRDefault="00CD6C05" w:rsidP="00B81CF0">
            <w:r>
              <w:t>6.3</w:t>
            </w:r>
          </w:p>
        </w:tc>
        <w:tc>
          <w:tcPr>
            <w:tcW w:w="5245" w:type="dxa"/>
          </w:tcPr>
          <w:p w:rsidR="00CD6C05" w:rsidRDefault="00CD6C05" w:rsidP="00B81CF0">
            <w:r>
              <w:t>The situation of Norway</w:t>
            </w:r>
          </w:p>
        </w:tc>
        <w:tc>
          <w:tcPr>
            <w:tcW w:w="1559" w:type="dxa"/>
            <w:vMerge/>
            <w:vAlign w:val="center"/>
          </w:tcPr>
          <w:p w:rsidR="00CD6C05" w:rsidRDefault="00CD6C05" w:rsidP="00B81CF0"/>
        </w:tc>
        <w:tc>
          <w:tcPr>
            <w:tcW w:w="709" w:type="dxa"/>
          </w:tcPr>
          <w:p w:rsidR="00CD6C05" w:rsidRDefault="00CD6C05" w:rsidP="00B81CF0"/>
        </w:tc>
      </w:tr>
      <w:tr w:rsidR="00CD6C05" w:rsidTr="001560D9">
        <w:tc>
          <w:tcPr>
            <w:tcW w:w="1384" w:type="dxa"/>
          </w:tcPr>
          <w:p w:rsidR="00CD6C05" w:rsidRDefault="00CD6C05" w:rsidP="00B81CF0">
            <w:r>
              <w:t>6.4</w:t>
            </w:r>
          </w:p>
        </w:tc>
        <w:tc>
          <w:tcPr>
            <w:tcW w:w="5245" w:type="dxa"/>
          </w:tcPr>
          <w:p w:rsidR="00CD6C05" w:rsidRDefault="00CD6C05" w:rsidP="00B81CF0">
            <w:r>
              <w:t>Judiciary impact in Norway of a TTIP investment regime</w:t>
            </w:r>
          </w:p>
        </w:tc>
        <w:tc>
          <w:tcPr>
            <w:tcW w:w="1559" w:type="dxa"/>
            <w:vMerge/>
            <w:vAlign w:val="center"/>
          </w:tcPr>
          <w:p w:rsidR="00CD6C05" w:rsidRDefault="00CD6C05" w:rsidP="00B81CF0"/>
        </w:tc>
        <w:tc>
          <w:tcPr>
            <w:tcW w:w="709" w:type="dxa"/>
          </w:tcPr>
          <w:p w:rsidR="00CD6C05" w:rsidRDefault="00CD6C05" w:rsidP="00B81CF0"/>
        </w:tc>
      </w:tr>
      <w:tr w:rsidR="00CD6C05" w:rsidTr="001560D9">
        <w:tc>
          <w:tcPr>
            <w:tcW w:w="1384" w:type="dxa"/>
          </w:tcPr>
          <w:p w:rsidR="00CD6C05" w:rsidRDefault="00CD6C05" w:rsidP="00B81CF0">
            <w:r>
              <w:t>6.5</w:t>
            </w:r>
          </w:p>
        </w:tc>
        <w:tc>
          <w:tcPr>
            <w:tcW w:w="5245" w:type="dxa"/>
          </w:tcPr>
          <w:p w:rsidR="00CD6C05" w:rsidRDefault="00CD6C05" w:rsidP="00B81CF0">
            <w:r>
              <w:t>Constitutional barriers for Norwegian accession</w:t>
            </w:r>
          </w:p>
        </w:tc>
        <w:tc>
          <w:tcPr>
            <w:tcW w:w="1559" w:type="dxa"/>
            <w:vMerge/>
            <w:vAlign w:val="center"/>
          </w:tcPr>
          <w:p w:rsidR="00CD6C05" w:rsidRDefault="00CD6C05" w:rsidP="00B81CF0"/>
        </w:tc>
        <w:tc>
          <w:tcPr>
            <w:tcW w:w="709" w:type="dxa"/>
          </w:tcPr>
          <w:p w:rsidR="00CD6C05" w:rsidRDefault="00CD6C05" w:rsidP="00B81CF0"/>
        </w:tc>
      </w:tr>
      <w:tr w:rsidR="00CD6C05" w:rsidTr="001560D9">
        <w:tc>
          <w:tcPr>
            <w:tcW w:w="1384" w:type="dxa"/>
          </w:tcPr>
          <w:p w:rsidR="00CD6C05" w:rsidRDefault="00CD6C05" w:rsidP="00B81CF0">
            <w:r>
              <w:t>Chapter 7</w:t>
            </w:r>
          </w:p>
        </w:tc>
        <w:tc>
          <w:tcPr>
            <w:tcW w:w="5245" w:type="dxa"/>
          </w:tcPr>
          <w:p w:rsidR="00CD6C05" w:rsidRDefault="001560D9" w:rsidP="00B81CF0">
            <w:r>
              <w:t>Regulatory cooperation in TTIP</w:t>
            </w:r>
          </w:p>
        </w:tc>
        <w:tc>
          <w:tcPr>
            <w:tcW w:w="1559" w:type="dxa"/>
            <w:vAlign w:val="center"/>
          </w:tcPr>
          <w:p w:rsidR="00CD6C05" w:rsidRDefault="00CD6C05" w:rsidP="00B81CF0"/>
        </w:tc>
        <w:tc>
          <w:tcPr>
            <w:tcW w:w="709" w:type="dxa"/>
          </w:tcPr>
          <w:p w:rsidR="00CD6C05" w:rsidRDefault="00CD6C05" w:rsidP="00B81CF0"/>
        </w:tc>
      </w:tr>
      <w:tr w:rsidR="00CD6C05" w:rsidTr="001560D9">
        <w:tc>
          <w:tcPr>
            <w:tcW w:w="1384" w:type="dxa"/>
          </w:tcPr>
          <w:p w:rsidR="00CD6C05" w:rsidRDefault="001560D9" w:rsidP="00B81CF0">
            <w:r>
              <w:t>7.1</w:t>
            </w:r>
          </w:p>
        </w:tc>
        <w:tc>
          <w:tcPr>
            <w:tcW w:w="5245" w:type="dxa"/>
          </w:tcPr>
          <w:p w:rsidR="00CD6C05" w:rsidRDefault="001560D9" w:rsidP="00B05A4F">
            <w:r>
              <w:t xml:space="preserve">Background: </w:t>
            </w:r>
            <w:r w:rsidR="00B05A4F">
              <w:t>Past EU-USA r</w:t>
            </w:r>
            <w:r>
              <w:t xml:space="preserve">egulatory cooperation </w:t>
            </w:r>
          </w:p>
        </w:tc>
        <w:tc>
          <w:tcPr>
            <w:tcW w:w="1559" w:type="dxa"/>
            <w:vAlign w:val="center"/>
          </w:tcPr>
          <w:p w:rsidR="00CD6C05" w:rsidRDefault="001560D9" w:rsidP="00B81CF0">
            <w:r>
              <w:t>Veggeland</w:t>
            </w:r>
          </w:p>
        </w:tc>
        <w:tc>
          <w:tcPr>
            <w:tcW w:w="709" w:type="dxa"/>
          </w:tcPr>
          <w:p w:rsidR="00CD6C05" w:rsidRDefault="00CD6C05" w:rsidP="00B81CF0"/>
        </w:tc>
      </w:tr>
      <w:tr w:rsidR="00CD6C05" w:rsidTr="001560D9">
        <w:tc>
          <w:tcPr>
            <w:tcW w:w="1384" w:type="dxa"/>
          </w:tcPr>
          <w:p w:rsidR="00CD6C05" w:rsidRDefault="001560D9" w:rsidP="00B81CF0">
            <w:r>
              <w:t>7.2</w:t>
            </w:r>
          </w:p>
        </w:tc>
        <w:tc>
          <w:tcPr>
            <w:tcW w:w="5245" w:type="dxa"/>
          </w:tcPr>
          <w:p w:rsidR="00CD6C05" w:rsidRDefault="001560D9" w:rsidP="00B81CF0">
            <w:r>
              <w:t>Regulatory cooperation in TTIP: “Soft” or “hard” approaches?</w:t>
            </w:r>
          </w:p>
        </w:tc>
        <w:tc>
          <w:tcPr>
            <w:tcW w:w="1559" w:type="dxa"/>
            <w:vAlign w:val="center"/>
          </w:tcPr>
          <w:p w:rsidR="00CD6C05" w:rsidRDefault="001560D9" w:rsidP="001560D9">
            <w:r>
              <w:t xml:space="preserve">Veggeland/  Melchior </w:t>
            </w:r>
          </w:p>
        </w:tc>
        <w:tc>
          <w:tcPr>
            <w:tcW w:w="709" w:type="dxa"/>
          </w:tcPr>
          <w:p w:rsidR="00CD6C05" w:rsidRDefault="00CD6C05" w:rsidP="00B81CF0"/>
        </w:tc>
      </w:tr>
      <w:tr w:rsidR="00CD6C05" w:rsidTr="001560D9">
        <w:tc>
          <w:tcPr>
            <w:tcW w:w="1384" w:type="dxa"/>
          </w:tcPr>
          <w:p w:rsidR="00CD6C05" w:rsidRDefault="001560D9" w:rsidP="00B81CF0">
            <w:r>
              <w:t>7.3</w:t>
            </w:r>
          </w:p>
        </w:tc>
        <w:tc>
          <w:tcPr>
            <w:tcW w:w="5245" w:type="dxa"/>
          </w:tcPr>
          <w:p w:rsidR="00CD6C05" w:rsidRDefault="001560D9" w:rsidP="00B81CF0">
            <w:r>
              <w:t>TTIP – regulatory convergence in the longer run?</w:t>
            </w:r>
          </w:p>
        </w:tc>
        <w:tc>
          <w:tcPr>
            <w:tcW w:w="1559" w:type="dxa"/>
            <w:vAlign w:val="center"/>
          </w:tcPr>
          <w:p w:rsidR="00CD6C05" w:rsidRDefault="001560D9" w:rsidP="00B81CF0">
            <w:r>
              <w:t>Veggeland</w:t>
            </w:r>
          </w:p>
        </w:tc>
        <w:tc>
          <w:tcPr>
            <w:tcW w:w="709" w:type="dxa"/>
          </w:tcPr>
          <w:p w:rsidR="00CD6C05" w:rsidRDefault="00CD6C05" w:rsidP="00B81CF0"/>
        </w:tc>
      </w:tr>
      <w:tr w:rsidR="00CD6C05" w:rsidTr="001560D9">
        <w:tc>
          <w:tcPr>
            <w:tcW w:w="1384" w:type="dxa"/>
          </w:tcPr>
          <w:p w:rsidR="00CD6C05" w:rsidRDefault="001560D9" w:rsidP="00B81CF0">
            <w:r>
              <w:t>7.4</w:t>
            </w:r>
          </w:p>
        </w:tc>
        <w:tc>
          <w:tcPr>
            <w:tcW w:w="5245" w:type="dxa"/>
          </w:tcPr>
          <w:p w:rsidR="00CD6C05" w:rsidRDefault="001560D9" w:rsidP="001560D9">
            <w:r>
              <w:t>Will regulatory cooperation in TTIP affect the EEA?</w:t>
            </w:r>
          </w:p>
        </w:tc>
        <w:tc>
          <w:tcPr>
            <w:tcW w:w="1559" w:type="dxa"/>
            <w:vAlign w:val="center"/>
          </w:tcPr>
          <w:p w:rsidR="00CD6C05" w:rsidRDefault="001560D9" w:rsidP="00B81CF0">
            <w:r>
              <w:t>Bekkedal</w:t>
            </w:r>
          </w:p>
        </w:tc>
        <w:tc>
          <w:tcPr>
            <w:tcW w:w="709" w:type="dxa"/>
          </w:tcPr>
          <w:p w:rsidR="00CD6C05" w:rsidRDefault="00CD6C05" w:rsidP="00B81CF0"/>
        </w:tc>
      </w:tr>
      <w:tr w:rsidR="00CD6C05" w:rsidTr="001560D9">
        <w:tc>
          <w:tcPr>
            <w:tcW w:w="1384" w:type="dxa"/>
          </w:tcPr>
          <w:p w:rsidR="00CD6C05" w:rsidRDefault="001560D9" w:rsidP="00B81CF0">
            <w:r>
              <w:t>Chapter 8</w:t>
            </w:r>
          </w:p>
        </w:tc>
        <w:tc>
          <w:tcPr>
            <w:tcW w:w="5245" w:type="dxa"/>
          </w:tcPr>
          <w:p w:rsidR="00CD6C05" w:rsidRDefault="001560D9" w:rsidP="00B81CF0">
            <w:r>
              <w:t>TTIP and selected industries</w:t>
            </w:r>
          </w:p>
        </w:tc>
        <w:tc>
          <w:tcPr>
            <w:tcW w:w="1559" w:type="dxa"/>
            <w:vAlign w:val="center"/>
          </w:tcPr>
          <w:p w:rsidR="00CD6C05" w:rsidRDefault="00CD6C05" w:rsidP="00B81CF0"/>
        </w:tc>
        <w:tc>
          <w:tcPr>
            <w:tcW w:w="709" w:type="dxa"/>
          </w:tcPr>
          <w:p w:rsidR="00CD6C05" w:rsidRDefault="00CD6C05" w:rsidP="00B81CF0"/>
        </w:tc>
      </w:tr>
      <w:tr w:rsidR="00CD6C05" w:rsidTr="001560D9">
        <w:tc>
          <w:tcPr>
            <w:tcW w:w="1384" w:type="dxa"/>
          </w:tcPr>
          <w:p w:rsidR="00CD6C05" w:rsidRDefault="001560D9" w:rsidP="00B81CF0">
            <w:r>
              <w:t>8.1</w:t>
            </w:r>
          </w:p>
        </w:tc>
        <w:tc>
          <w:tcPr>
            <w:tcW w:w="5245" w:type="dxa"/>
          </w:tcPr>
          <w:p w:rsidR="00CD6C05" w:rsidRDefault="001560D9" w:rsidP="00B81CF0">
            <w:r>
              <w:t>Agriculture</w:t>
            </w:r>
            <w:r w:rsidR="005D1394">
              <w:t xml:space="preserve"> and the food industry</w:t>
            </w:r>
          </w:p>
        </w:tc>
        <w:tc>
          <w:tcPr>
            <w:tcW w:w="1559" w:type="dxa"/>
            <w:vAlign w:val="center"/>
          </w:tcPr>
          <w:p w:rsidR="00CD6C05" w:rsidRDefault="001560D9" w:rsidP="00B81CF0">
            <w:r>
              <w:t>Mittenzwei</w:t>
            </w:r>
          </w:p>
        </w:tc>
        <w:tc>
          <w:tcPr>
            <w:tcW w:w="709" w:type="dxa"/>
          </w:tcPr>
          <w:p w:rsidR="00CD6C05" w:rsidRDefault="00CD6C05" w:rsidP="00B81CF0"/>
        </w:tc>
      </w:tr>
      <w:tr w:rsidR="00CD6C05" w:rsidTr="001560D9">
        <w:tc>
          <w:tcPr>
            <w:tcW w:w="1384" w:type="dxa"/>
          </w:tcPr>
          <w:p w:rsidR="00CD6C05" w:rsidRDefault="001560D9" w:rsidP="00B81CF0">
            <w:r>
              <w:t>8.2</w:t>
            </w:r>
          </w:p>
        </w:tc>
        <w:tc>
          <w:tcPr>
            <w:tcW w:w="5245" w:type="dxa"/>
          </w:tcPr>
          <w:p w:rsidR="00CD6C05" w:rsidRDefault="001560D9" w:rsidP="00B81CF0">
            <w:r>
              <w:t>TTIP and the seafood industry</w:t>
            </w:r>
          </w:p>
        </w:tc>
        <w:tc>
          <w:tcPr>
            <w:tcW w:w="1559" w:type="dxa"/>
            <w:vAlign w:val="center"/>
          </w:tcPr>
          <w:p w:rsidR="00CD6C05" w:rsidRDefault="001560D9" w:rsidP="00B81CF0">
            <w:r>
              <w:t>Melchior</w:t>
            </w:r>
          </w:p>
        </w:tc>
        <w:tc>
          <w:tcPr>
            <w:tcW w:w="709" w:type="dxa"/>
          </w:tcPr>
          <w:p w:rsidR="00CD6C05" w:rsidRDefault="00CD6C05" w:rsidP="00B81CF0"/>
        </w:tc>
      </w:tr>
      <w:tr w:rsidR="00CD6C05" w:rsidTr="001560D9">
        <w:tc>
          <w:tcPr>
            <w:tcW w:w="1384" w:type="dxa"/>
          </w:tcPr>
          <w:p w:rsidR="00CD6C05" w:rsidRDefault="001560D9" w:rsidP="00B81CF0">
            <w:r>
              <w:t>8.3</w:t>
            </w:r>
          </w:p>
        </w:tc>
        <w:tc>
          <w:tcPr>
            <w:tcW w:w="5245" w:type="dxa"/>
          </w:tcPr>
          <w:p w:rsidR="00CD6C05" w:rsidRDefault="001560D9" w:rsidP="001560D9">
            <w:r>
              <w:t>TTIP and trade in services</w:t>
            </w:r>
          </w:p>
        </w:tc>
        <w:tc>
          <w:tcPr>
            <w:tcW w:w="1559" w:type="dxa"/>
            <w:vAlign w:val="center"/>
          </w:tcPr>
          <w:p w:rsidR="00CD6C05" w:rsidRDefault="001560D9" w:rsidP="00B81CF0">
            <w:r>
              <w:t>Grünfeld/</w:t>
            </w:r>
          </w:p>
          <w:p w:rsidR="001560D9" w:rsidRDefault="001560D9" w:rsidP="005D1394">
            <w:r>
              <w:t>Gjems</w:t>
            </w:r>
            <w:r w:rsidR="005D1394">
              <w:t xml:space="preserve"> </w:t>
            </w:r>
            <w:r>
              <w:t>Theie</w:t>
            </w:r>
          </w:p>
        </w:tc>
        <w:tc>
          <w:tcPr>
            <w:tcW w:w="709" w:type="dxa"/>
          </w:tcPr>
          <w:p w:rsidR="00CD6C05" w:rsidRDefault="00CD6C05" w:rsidP="00B81CF0"/>
        </w:tc>
      </w:tr>
      <w:tr w:rsidR="002015AE" w:rsidTr="001560D9">
        <w:tc>
          <w:tcPr>
            <w:tcW w:w="1384" w:type="dxa"/>
          </w:tcPr>
          <w:p w:rsidR="002015AE" w:rsidRDefault="002015AE" w:rsidP="002015AE">
            <w:r>
              <w:t>Chapter 9</w:t>
            </w:r>
          </w:p>
        </w:tc>
        <w:tc>
          <w:tcPr>
            <w:tcW w:w="5245" w:type="dxa"/>
          </w:tcPr>
          <w:p w:rsidR="002015AE" w:rsidRDefault="002015AE" w:rsidP="002015AE">
            <w:r>
              <w:t>TTIP and sustainability</w:t>
            </w:r>
          </w:p>
        </w:tc>
        <w:tc>
          <w:tcPr>
            <w:tcW w:w="1559" w:type="dxa"/>
            <w:vAlign w:val="center"/>
          </w:tcPr>
          <w:p w:rsidR="002015AE" w:rsidRDefault="002015AE" w:rsidP="002015AE">
            <w:r>
              <w:t>Pettersen</w:t>
            </w:r>
          </w:p>
        </w:tc>
        <w:tc>
          <w:tcPr>
            <w:tcW w:w="709" w:type="dxa"/>
          </w:tcPr>
          <w:p w:rsidR="002015AE" w:rsidRDefault="002015AE" w:rsidP="002015AE"/>
        </w:tc>
      </w:tr>
      <w:tr w:rsidR="002015AE" w:rsidTr="001560D9">
        <w:tc>
          <w:tcPr>
            <w:tcW w:w="1384" w:type="dxa"/>
          </w:tcPr>
          <w:p w:rsidR="002015AE" w:rsidRDefault="002015AE" w:rsidP="002015AE"/>
        </w:tc>
        <w:tc>
          <w:tcPr>
            <w:tcW w:w="5245" w:type="dxa"/>
          </w:tcPr>
          <w:p w:rsidR="002015AE" w:rsidRDefault="002015AE" w:rsidP="002015AE">
            <w:r>
              <w:t>References</w:t>
            </w:r>
          </w:p>
        </w:tc>
        <w:tc>
          <w:tcPr>
            <w:tcW w:w="1559" w:type="dxa"/>
            <w:vAlign w:val="center"/>
          </w:tcPr>
          <w:p w:rsidR="002015AE" w:rsidRDefault="002015AE" w:rsidP="002015AE"/>
        </w:tc>
        <w:tc>
          <w:tcPr>
            <w:tcW w:w="709" w:type="dxa"/>
          </w:tcPr>
          <w:p w:rsidR="002015AE" w:rsidRDefault="002015AE" w:rsidP="002015AE"/>
        </w:tc>
      </w:tr>
      <w:tr w:rsidR="002015AE" w:rsidTr="001560D9">
        <w:tc>
          <w:tcPr>
            <w:tcW w:w="1384" w:type="dxa"/>
          </w:tcPr>
          <w:p w:rsidR="002015AE" w:rsidRDefault="002015AE" w:rsidP="002015AE">
            <w:r>
              <w:t>Appendix A</w:t>
            </w:r>
          </w:p>
        </w:tc>
        <w:tc>
          <w:tcPr>
            <w:tcW w:w="5245" w:type="dxa"/>
          </w:tcPr>
          <w:p w:rsidR="002015AE" w:rsidRDefault="002015AE" w:rsidP="002015AE">
            <w:r>
              <w:t>List of persons</w:t>
            </w:r>
            <w:r w:rsidR="005D1394">
              <w:t xml:space="preserve"> who contributed to the project</w:t>
            </w:r>
          </w:p>
        </w:tc>
        <w:tc>
          <w:tcPr>
            <w:tcW w:w="1559" w:type="dxa"/>
            <w:vAlign w:val="center"/>
          </w:tcPr>
          <w:p w:rsidR="002015AE" w:rsidRDefault="002015AE" w:rsidP="002015AE"/>
        </w:tc>
        <w:tc>
          <w:tcPr>
            <w:tcW w:w="709" w:type="dxa"/>
          </w:tcPr>
          <w:p w:rsidR="002015AE" w:rsidRDefault="002015AE" w:rsidP="002015AE"/>
        </w:tc>
      </w:tr>
      <w:tr w:rsidR="002015AE" w:rsidTr="001560D9">
        <w:tc>
          <w:tcPr>
            <w:tcW w:w="1384" w:type="dxa"/>
          </w:tcPr>
          <w:p w:rsidR="002015AE" w:rsidRDefault="002015AE" w:rsidP="002015AE">
            <w:r>
              <w:t>Appendix B</w:t>
            </w:r>
          </w:p>
        </w:tc>
        <w:tc>
          <w:tcPr>
            <w:tcW w:w="5245" w:type="dxa"/>
          </w:tcPr>
          <w:p w:rsidR="002015AE" w:rsidRDefault="002015AE" w:rsidP="002015AE">
            <w:r>
              <w:t>Norges handel med EU og USA</w:t>
            </w:r>
          </w:p>
        </w:tc>
        <w:tc>
          <w:tcPr>
            <w:tcW w:w="1559" w:type="dxa"/>
            <w:vAlign w:val="center"/>
          </w:tcPr>
          <w:p w:rsidR="002015AE" w:rsidRDefault="002015AE" w:rsidP="002015AE">
            <w:r>
              <w:t>Medin</w:t>
            </w:r>
          </w:p>
        </w:tc>
        <w:tc>
          <w:tcPr>
            <w:tcW w:w="709" w:type="dxa"/>
          </w:tcPr>
          <w:p w:rsidR="002015AE" w:rsidRDefault="002015AE" w:rsidP="002015AE"/>
        </w:tc>
      </w:tr>
      <w:tr w:rsidR="002015AE" w:rsidTr="001560D9">
        <w:tc>
          <w:tcPr>
            <w:tcW w:w="1384" w:type="dxa"/>
          </w:tcPr>
          <w:p w:rsidR="002015AE" w:rsidRDefault="002015AE" w:rsidP="002015AE">
            <w:r>
              <w:t>Appendix C</w:t>
            </w:r>
          </w:p>
        </w:tc>
        <w:tc>
          <w:tcPr>
            <w:tcW w:w="5245" w:type="dxa"/>
          </w:tcPr>
          <w:p w:rsidR="002015AE" w:rsidRDefault="002015AE" w:rsidP="002015AE">
            <w:r>
              <w:t>Norges direkte utenlandsinvesteringer</w:t>
            </w:r>
          </w:p>
        </w:tc>
        <w:tc>
          <w:tcPr>
            <w:tcW w:w="1559" w:type="dxa"/>
            <w:vAlign w:val="center"/>
          </w:tcPr>
          <w:p w:rsidR="002015AE" w:rsidRDefault="002015AE" w:rsidP="002015AE">
            <w:r>
              <w:t>Medin</w:t>
            </w:r>
          </w:p>
        </w:tc>
        <w:tc>
          <w:tcPr>
            <w:tcW w:w="709" w:type="dxa"/>
          </w:tcPr>
          <w:p w:rsidR="002015AE" w:rsidRDefault="002015AE" w:rsidP="002015AE"/>
        </w:tc>
      </w:tr>
    </w:tbl>
    <w:p w:rsidR="00B81CF0" w:rsidRDefault="00B81CF0" w:rsidP="00B81CF0">
      <w:pPr>
        <w:pStyle w:val="Heading1"/>
      </w:pPr>
      <w:r>
        <w:t>Contents</w:t>
      </w:r>
      <w:r>
        <w:br w:type="page"/>
      </w:r>
    </w:p>
    <w:p w:rsidR="00341E17" w:rsidRDefault="00341E17" w:rsidP="00341E17">
      <w:pPr>
        <w:pStyle w:val="Heading1"/>
      </w:pPr>
      <w:r>
        <w:lastRenderedPageBreak/>
        <w:t>Abstract</w:t>
      </w:r>
    </w:p>
    <w:p w:rsidR="00880BE1" w:rsidRDefault="00880BE1" w:rsidP="00CC73AD">
      <w:pPr>
        <w:jc w:val="both"/>
      </w:pPr>
      <w:r>
        <w:t>T</w:t>
      </w:r>
      <w:r w:rsidRPr="00E31CAF">
        <w:t xml:space="preserve">his study analyzes </w:t>
      </w:r>
      <w:r>
        <w:t xml:space="preserve">the </w:t>
      </w:r>
      <w:r w:rsidRPr="00E31CAF">
        <w:t>TTIP</w:t>
      </w:r>
      <w:r>
        <w:t xml:space="preserve"> </w:t>
      </w:r>
      <w:r w:rsidRPr="00E31CAF">
        <w:t xml:space="preserve">agreement, its implications for Norway </w:t>
      </w:r>
      <w:r>
        <w:t xml:space="preserve">and Norway’s trade policy </w:t>
      </w:r>
      <w:r w:rsidRPr="00E31CAF">
        <w:t xml:space="preserve">choices. TTIP </w:t>
      </w:r>
      <w:r>
        <w:t>will hardly be concluded</w:t>
      </w:r>
      <w:r w:rsidRPr="00E31CAF">
        <w:t xml:space="preserve"> under Obama's </w:t>
      </w:r>
      <w:r>
        <w:t>presidency</w:t>
      </w:r>
      <w:r w:rsidRPr="00E31CAF">
        <w:t xml:space="preserve">, but the </w:t>
      </w:r>
      <w:r>
        <w:t>agreement</w:t>
      </w:r>
      <w:r w:rsidRPr="00E31CAF">
        <w:t xml:space="preserve"> could be</w:t>
      </w:r>
      <w:r>
        <w:t>come</w:t>
      </w:r>
      <w:r w:rsidRPr="00E31CAF">
        <w:t xml:space="preserve"> a reality within a few years. TTIP aims at comprehensive cooperation in the regulatory area. In the short term there will be limited harmonization of standards but </w:t>
      </w:r>
      <w:r>
        <w:t xml:space="preserve">regulatory </w:t>
      </w:r>
      <w:r w:rsidRPr="00E31CAF">
        <w:t xml:space="preserve">cooperation between different systems. In the long term, the goal is stronger cooperation in the regulatory area. TTIP will from what we know does not </w:t>
      </w:r>
      <w:r>
        <w:t>lead to</w:t>
      </w:r>
      <w:r w:rsidRPr="00E31CAF">
        <w:t xml:space="preserve"> a lowering of European health </w:t>
      </w:r>
      <w:r>
        <w:t xml:space="preserve">regulations </w:t>
      </w:r>
      <w:r w:rsidRPr="00E31CAF">
        <w:t xml:space="preserve">or a "race to the bottom".   </w:t>
      </w:r>
    </w:p>
    <w:p w:rsidR="00880BE1" w:rsidRPr="00831682" w:rsidRDefault="00880BE1" w:rsidP="00CC73AD">
      <w:pPr>
        <w:jc w:val="both"/>
        <w:rPr>
          <w:rFonts w:ascii="Calibri" w:eastAsia="Times New Roman" w:hAnsi="Calibri" w:cs="Times New Roman"/>
          <w:lang w:val="nb-NO" w:eastAsia="nb-NO"/>
        </w:rPr>
      </w:pPr>
      <w:r w:rsidRPr="00E31CAF">
        <w:t xml:space="preserve">If TTIP is realized and Norway </w:t>
      </w:r>
      <w:r>
        <w:t>remains</w:t>
      </w:r>
      <w:r w:rsidRPr="00E31CAF">
        <w:t xml:space="preserve"> outside</w:t>
      </w:r>
      <w:r>
        <w:t xml:space="preserve">, </w:t>
      </w:r>
      <w:r w:rsidRPr="00E31CAF">
        <w:t xml:space="preserve">the EEA Agreement will be little affected and the overall economic impact is moderate. If Norway joins TTIP, will be a significant </w:t>
      </w:r>
      <w:r w:rsidR="00336752">
        <w:t xml:space="preserve">real income </w:t>
      </w:r>
      <w:r w:rsidRPr="00E31CAF">
        <w:t xml:space="preserve">gain, with estimates </w:t>
      </w:r>
      <w:r>
        <w:t xml:space="preserve">ranging </w:t>
      </w:r>
      <w:r w:rsidRPr="00E31CAF">
        <w:t>from 2236</w:t>
      </w:r>
      <w:r>
        <w:t xml:space="preserve"> to </w:t>
      </w:r>
      <w:r w:rsidRPr="00E31CAF">
        <w:t xml:space="preserve"> 6772 </w:t>
      </w:r>
      <w:r>
        <w:t xml:space="preserve">NOK </w:t>
      </w:r>
      <w:r w:rsidRPr="00E31CAF">
        <w:t xml:space="preserve">per capita in the various scenarios. There is considerable variation </w:t>
      </w:r>
      <w:r>
        <w:t>across</w:t>
      </w:r>
      <w:r w:rsidRPr="00E31CAF">
        <w:t xml:space="preserve"> sectors. Outside TTIP there will be a moderate negative impact for a majority of the sectors, especially some industrial industries that </w:t>
      </w:r>
      <w:r w:rsidRPr="00831682">
        <w:rPr>
          <w:rFonts w:ascii="Calibri" w:eastAsia="Times New Roman" w:hAnsi="Calibri" w:cs="Times New Roman"/>
          <w:lang w:eastAsia="nb-NO"/>
        </w:rPr>
        <w:t xml:space="preserve">face </w:t>
      </w:r>
      <w:r>
        <w:rPr>
          <w:rFonts w:ascii="Calibri" w:eastAsia="Times New Roman" w:hAnsi="Calibri" w:cs="Times New Roman"/>
          <w:lang w:eastAsia="nb-NO"/>
        </w:rPr>
        <w:t>tougher c</w:t>
      </w:r>
      <w:r w:rsidRPr="00831682">
        <w:rPr>
          <w:rFonts w:ascii="Calibri" w:eastAsia="Times New Roman" w:hAnsi="Calibri" w:cs="Times New Roman"/>
          <w:lang w:eastAsia="nb-NO"/>
        </w:rPr>
        <w:t xml:space="preserve">ompetition in the </w:t>
      </w:r>
      <w:r>
        <w:rPr>
          <w:rFonts w:ascii="Calibri" w:eastAsia="Times New Roman" w:hAnsi="Calibri" w:cs="Times New Roman"/>
          <w:lang w:eastAsia="nb-NO"/>
        </w:rPr>
        <w:t xml:space="preserve">EU and USA </w:t>
      </w:r>
      <w:r w:rsidRPr="00831682">
        <w:rPr>
          <w:rFonts w:ascii="Calibri" w:eastAsia="Times New Roman" w:hAnsi="Calibri" w:cs="Times New Roman"/>
          <w:lang w:eastAsia="nb-NO"/>
        </w:rPr>
        <w:t xml:space="preserve">export markets. The oil industry will </w:t>
      </w:r>
      <w:r>
        <w:rPr>
          <w:rFonts w:ascii="Calibri" w:eastAsia="Times New Roman" w:hAnsi="Calibri" w:cs="Times New Roman"/>
          <w:lang w:eastAsia="nb-NO"/>
        </w:rPr>
        <w:t>gain from</w:t>
      </w:r>
      <w:r w:rsidRPr="00831682">
        <w:rPr>
          <w:rFonts w:ascii="Calibri" w:eastAsia="Times New Roman" w:hAnsi="Calibri" w:cs="Times New Roman"/>
          <w:lang w:eastAsia="nb-NO"/>
        </w:rPr>
        <w:t xml:space="preserve"> increased demand and higher price. If Norway joins </w:t>
      </w:r>
      <w:r>
        <w:rPr>
          <w:rFonts w:ascii="Calibri" w:eastAsia="Times New Roman" w:hAnsi="Calibri" w:cs="Times New Roman"/>
          <w:lang w:eastAsia="nb-NO"/>
        </w:rPr>
        <w:t>T</w:t>
      </w:r>
      <w:r w:rsidRPr="00831682">
        <w:rPr>
          <w:rFonts w:ascii="Calibri" w:eastAsia="Times New Roman" w:hAnsi="Calibri" w:cs="Times New Roman"/>
          <w:lang w:eastAsia="nb-NO"/>
        </w:rPr>
        <w:t xml:space="preserve">TIP, a clear majority of industries </w:t>
      </w:r>
      <w:r>
        <w:rPr>
          <w:rFonts w:ascii="Calibri" w:eastAsia="Times New Roman" w:hAnsi="Calibri" w:cs="Times New Roman"/>
          <w:lang w:eastAsia="nb-NO"/>
        </w:rPr>
        <w:t>will benefit</w:t>
      </w:r>
      <w:r w:rsidRPr="00831682">
        <w:rPr>
          <w:rFonts w:ascii="Calibri" w:eastAsia="Times New Roman" w:hAnsi="Calibri" w:cs="Times New Roman"/>
          <w:lang w:eastAsia="nb-NO"/>
        </w:rPr>
        <w:t xml:space="preserve">; especially business services and a number of other service industries. The public sector </w:t>
      </w:r>
      <w:r>
        <w:rPr>
          <w:rFonts w:ascii="Calibri" w:eastAsia="Times New Roman" w:hAnsi="Calibri" w:cs="Times New Roman"/>
          <w:lang w:eastAsia="nb-NO"/>
        </w:rPr>
        <w:t>gains from</w:t>
      </w:r>
      <w:r w:rsidRPr="00831682">
        <w:rPr>
          <w:rFonts w:ascii="Calibri" w:eastAsia="Times New Roman" w:hAnsi="Calibri" w:cs="Times New Roman"/>
          <w:lang w:eastAsia="nb-NO"/>
        </w:rPr>
        <w:t xml:space="preserve"> TTIP </w:t>
      </w:r>
      <w:r>
        <w:rPr>
          <w:rFonts w:ascii="Calibri" w:eastAsia="Times New Roman" w:hAnsi="Calibri" w:cs="Times New Roman"/>
          <w:lang w:eastAsia="nb-NO"/>
        </w:rPr>
        <w:t>due to</w:t>
      </w:r>
      <w:r w:rsidRPr="00831682">
        <w:rPr>
          <w:rFonts w:ascii="Calibri" w:eastAsia="Times New Roman" w:hAnsi="Calibri" w:cs="Times New Roman"/>
          <w:lang w:eastAsia="nb-NO"/>
        </w:rPr>
        <w:t xml:space="preserve"> cheaper </w:t>
      </w:r>
      <w:r>
        <w:rPr>
          <w:rFonts w:ascii="Calibri" w:eastAsia="Times New Roman" w:hAnsi="Calibri" w:cs="Times New Roman"/>
          <w:lang w:eastAsia="nb-NO"/>
        </w:rPr>
        <w:t>inputs</w:t>
      </w:r>
      <w:r w:rsidRPr="00831682">
        <w:rPr>
          <w:rFonts w:ascii="Calibri" w:eastAsia="Times New Roman" w:hAnsi="Calibri" w:cs="Times New Roman"/>
          <w:lang w:eastAsia="nb-NO"/>
        </w:rPr>
        <w:t xml:space="preserve">. </w:t>
      </w:r>
    </w:p>
    <w:p w:rsidR="00880BE1" w:rsidRPr="00831682" w:rsidRDefault="00880BE1" w:rsidP="00CC73AD">
      <w:pPr>
        <w:jc w:val="both"/>
        <w:rPr>
          <w:rFonts w:ascii="Calibri" w:eastAsia="Times New Roman" w:hAnsi="Calibri" w:cs="Times New Roman"/>
          <w:lang w:val="nb-NO" w:eastAsia="nb-NO"/>
        </w:rPr>
      </w:pPr>
      <w:r w:rsidRPr="00831682">
        <w:rPr>
          <w:rFonts w:ascii="Calibri" w:eastAsia="Times New Roman" w:hAnsi="Calibri" w:cs="Times New Roman"/>
          <w:lang w:eastAsia="nb-NO"/>
        </w:rPr>
        <w:t>TTIP will contribute to the dismantling of import protection for Norwegian agriculture and without compensating measures</w:t>
      </w:r>
      <w:r w:rsidRPr="00FA7799">
        <w:rPr>
          <w:rFonts w:ascii="Calibri" w:eastAsia="Times New Roman" w:hAnsi="Calibri" w:cs="Times New Roman"/>
          <w:lang w:eastAsia="nb-NO"/>
        </w:rPr>
        <w:t>,</w:t>
      </w:r>
      <w:r w:rsidRPr="00831682">
        <w:rPr>
          <w:rFonts w:ascii="Calibri" w:eastAsia="Times New Roman" w:hAnsi="Calibri" w:cs="Times New Roman"/>
          <w:lang w:eastAsia="nb-NO"/>
        </w:rPr>
        <w:t xml:space="preserve"> production and employment will be reduced. </w:t>
      </w:r>
      <w:r w:rsidRPr="00831682">
        <w:rPr>
          <w:rFonts w:ascii="Calibri" w:eastAsia="Times New Roman" w:hAnsi="Calibri" w:cs="Times New Roman"/>
          <w:shd w:val="clear" w:color="auto" w:fill="FFFFFF" w:themeFill="background1"/>
          <w:lang w:eastAsia="nb-NO"/>
        </w:rPr>
        <w:t xml:space="preserve">TTIP will still allow some </w:t>
      </w:r>
      <w:r w:rsidRPr="00880BE1">
        <w:rPr>
          <w:rFonts w:ascii="Calibri" w:eastAsia="Times New Roman" w:hAnsi="Calibri" w:cs="Times New Roman"/>
          <w:shd w:val="clear" w:color="auto" w:fill="FFFFFF" w:themeFill="background1"/>
          <w:lang w:eastAsia="nb-NO"/>
        </w:rPr>
        <w:t>import protection</w:t>
      </w:r>
      <w:r w:rsidRPr="00831682">
        <w:rPr>
          <w:rFonts w:ascii="Calibri" w:eastAsia="Times New Roman" w:hAnsi="Calibri" w:cs="Times New Roman"/>
          <w:shd w:val="clear" w:color="auto" w:fill="FFFFFF" w:themeFill="background1"/>
          <w:lang w:eastAsia="nb-NO"/>
        </w:rPr>
        <w:t xml:space="preserve"> and this </w:t>
      </w:r>
      <w:r w:rsidRPr="00880BE1">
        <w:rPr>
          <w:rFonts w:ascii="Calibri" w:eastAsia="Times New Roman" w:hAnsi="Calibri" w:cs="Times New Roman"/>
          <w:shd w:val="clear" w:color="auto" w:fill="FFFFFF" w:themeFill="background1"/>
          <w:lang w:eastAsia="nb-NO"/>
        </w:rPr>
        <w:t>margin of maneuver</w:t>
      </w:r>
      <w:r w:rsidRPr="00831682">
        <w:rPr>
          <w:rFonts w:ascii="Calibri" w:eastAsia="Times New Roman" w:hAnsi="Calibri" w:cs="Times New Roman"/>
          <w:shd w:val="clear" w:color="auto" w:fill="FFFFFF" w:themeFill="background1"/>
          <w:lang w:eastAsia="nb-NO"/>
        </w:rPr>
        <w:t xml:space="preserve"> is important </w:t>
      </w:r>
      <w:r w:rsidRPr="00880BE1">
        <w:rPr>
          <w:rFonts w:ascii="Calibri" w:eastAsia="Times New Roman" w:hAnsi="Calibri" w:cs="Times New Roman"/>
          <w:shd w:val="clear" w:color="auto" w:fill="FFFFFF" w:themeFill="background1"/>
          <w:lang w:eastAsia="nb-NO"/>
        </w:rPr>
        <w:t>for</w:t>
      </w:r>
      <w:r w:rsidRPr="00831682">
        <w:rPr>
          <w:rFonts w:ascii="Calibri" w:eastAsia="Times New Roman" w:hAnsi="Calibri" w:cs="Times New Roman"/>
          <w:shd w:val="clear" w:color="auto" w:fill="FFFFFF" w:themeFill="background1"/>
          <w:lang w:eastAsia="nb-NO"/>
        </w:rPr>
        <w:t xml:space="preserve"> the outcome. </w:t>
      </w:r>
      <w:r w:rsidRPr="00831682">
        <w:rPr>
          <w:rFonts w:ascii="Calibri" w:eastAsia="Times New Roman" w:hAnsi="Calibri" w:cs="Times New Roman"/>
          <w:lang w:eastAsia="nb-NO"/>
        </w:rPr>
        <w:t xml:space="preserve">This depends on future negotiations. With </w:t>
      </w:r>
      <w:r>
        <w:rPr>
          <w:rFonts w:ascii="Calibri" w:eastAsia="Times New Roman" w:hAnsi="Calibri" w:cs="Times New Roman"/>
          <w:lang w:eastAsia="nb-NO"/>
        </w:rPr>
        <w:t xml:space="preserve">a </w:t>
      </w:r>
      <w:r w:rsidRPr="00831682">
        <w:rPr>
          <w:rFonts w:ascii="Calibri" w:eastAsia="Times New Roman" w:hAnsi="Calibri" w:cs="Times New Roman"/>
          <w:lang w:eastAsia="nb-NO"/>
        </w:rPr>
        <w:t xml:space="preserve">greater </w:t>
      </w:r>
      <w:r w:rsidRPr="00880BE1">
        <w:rPr>
          <w:rFonts w:ascii="Calibri" w:eastAsia="Times New Roman" w:hAnsi="Calibri" w:cs="Times New Roman"/>
          <w:lang w:eastAsia="nb-NO"/>
        </w:rPr>
        <w:t>margin of</w:t>
      </w:r>
      <w:r w:rsidRPr="00831682">
        <w:rPr>
          <w:rFonts w:ascii="Calibri" w:eastAsia="Times New Roman" w:hAnsi="Calibri" w:cs="Times New Roman"/>
          <w:lang w:eastAsia="nb-NO"/>
        </w:rPr>
        <w:t xml:space="preserve"> maneuver and unchanged budget support most Norwegian agriculture </w:t>
      </w:r>
      <w:r w:rsidRPr="00FA7799">
        <w:rPr>
          <w:rFonts w:ascii="Calibri" w:eastAsia="Times New Roman" w:hAnsi="Calibri" w:cs="Times New Roman"/>
          <w:lang w:eastAsia="nb-NO"/>
        </w:rPr>
        <w:t>can be</w:t>
      </w:r>
      <w:r w:rsidRPr="00831682">
        <w:rPr>
          <w:rFonts w:ascii="Calibri" w:eastAsia="Times New Roman" w:hAnsi="Calibri" w:cs="Times New Roman"/>
          <w:lang w:eastAsia="nb-NO"/>
        </w:rPr>
        <w:t xml:space="preserve"> maintained. With less </w:t>
      </w:r>
      <w:r w:rsidRPr="00FA7799">
        <w:rPr>
          <w:rFonts w:ascii="Calibri" w:eastAsia="Times New Roman" w:hAnsi="Calibri" w:cs="Times New Roman"/>
          <w:lang w:eastAsia="nb-NO"/>
        </w:rPr>
        <w:t xml:space="preserve">margin of </w:t>
      </w:r>
      <w:r w:rsidRPr="00831682">
        <w:rPr>
          <w:rFonts w:ascii="Calibri" w:eastAsia="Times New Roman" w:hAnsi="Calibri" w:cs="Times New Roman"/>
          <w:lang w:eastAsia="nb-NO"/>
        </w:rPr>
        <w:t xml:space="preserve">maneuver </w:t>
      </w:r>
      <w:r w:rsidRPr="00FA7799">
        <w:rPr>
          <w:rFonts w:ascii="Calibri" w:eastAsia="Times New Roman" w:hAnsi="Calibri" w:cs="Times New Roman"/>
          <w:lang w:eastAsia="nb-NO"/>
        </w:rPr>
        <w:t xml:space="preserve">it </w:t>
      </w:r>
      <w:r w:rsidRPr="00831682">
        <w:rPr>
          <w:rFonts w:ascii="Calibri" w:eastAsia="Times New Roman" w:hAnsi="Calibri" w:cs="Times New Roman"/>
          <w:lang w:eastAsia="nb-NO"/>
        </w:rPr>
        <w:t>will be more demanding.</w:t>
      </w:r>
    </w:p>
    <w:p w:rsidR="00880BE1" w:rsidRPr="00E31CAF" w:rsidRDefault="00880BE1" w:rsidP="00CC73AD">
      <w:pPr>
        <w:jc w:val="both"/>
        <w:rPr>
          <w:rFonts w:ascii="Calibri" w:eastAsia="Times New Roman" w:hAnsi="Calibri" w:cs="Times New Roman"/>
          <w:lang w:val="nb-NO" w:eastAsia="nb-NO"/>
        </w:rPr>
      </w:pPr>
      <w:r w:rsidRPr="00E31CAF">
        <w:rPr>
          <w:rFonts w:ascii="Calibri" w:eastAsia="Times New Roman" w:hAnsi="Calibri" w:cs="Times New Roman"/>
          <w:lang w:eastAsia="nb-NO"/>
        </w:rPr>
        <w:t xml:space="preserve">Norwegian accession to TTIP </w:t>
      </w:r>
      <w:r w:rsidRPr="00FA7799">
        <w:rPr>
          <w:rFonts w:ascii="Calibri" w:eastAsia="Times New Roman" w:hAnsi="Calibri" w:cs="Times New Roman"/>
          <w:lang w:eastAsia="nb-NO"/>
        </w:rPr>
        <w:t>may</w:t>
      </w:r>
      <w:r w:rsidRPr="00E31CAF">
        <w:rPr>
          <w:rFonts w:ascii="Calibri" w:eastAsia="Times New Roman" w:hAnsi="Calibri" w:cs="Times New Roman"/>
          <w:lang w:eastAsia="nb-NO"/>
        </w:rPr>
        <w:t xml:space="preserve"> occur by </w:t>
      </w:r>
      <w:r w:rsidRPr="00FA7799">
        <w:rPr>
          <w:rFonts w:ascii="Calibri" w:eastAsia="Times New Roman" w:hAnsi="Calibri" w:cs="Times New Roman"/>
          <w:lang w:eastAsia="nb-NO"/>
        </w:rPr>
        <w:t xml:space="preserve">means of </w:t>
      </w:r>
      <w:r w:rsidRPr="00E31CAF">
        <w:rPr>
          <w:rFonts w:ascii="Calibri" w:eastAsia="Times New Roman" w:hAnsi="Calibri" w:cs="Times New Roman"/>
          <w:lang w:eastAsia="nb-NO"/>
        </w:rPr>
        <w:t xml:space="preserve">a </w:t>
      </w:r>
      <w:r w:rsidRPr="00FA7799">
        <w:rPr>
          <w:rFonts w:ascii="Calibri" w:eastAsia="Times New Roman" w:hAnsi="Calibri" w:cs="Times New Roman"/>
          <w:lang w:eastAsia="nb-NO"/>
        </w:rPr>
        <w:t>standard</w:t>
      </w:r>
      <w:r w:rsidRPr="00E31CAF">
        <w:rPr>
          <w:rFonts w:ascii="Calibri" w:eastAsia="Times New Roman" w:hAnsi="Calibri" w:cs="Times New Roman"/>
          <w:lang w:eastAsia="nb-NO"/>
        </w:rPr>
        <w:t xml:space="preserve"> trade agreement in which Norway or EFTA </w:t>
      </w:r>
      <w:r>
        <w:rPr>
          <w:rFonts w:ascii="Calibri" w:eastAsia="Times New Roman" w:hAnsi="Calibri" w:cs="Times New Roman"/>
          <w:lang w:eastAsia="nb-NO"/>
        </w:rPr>
        <w:t>are</w:t>
      </w:r>
      <w:r w:rsidRPr="00E31CAF">
        <w:rPr>
          <w:rFonts w:ascii="Calibri" w:eastAsia="Times New Roman" w:hAnsi="Calibri" w:cs="Times New Roman"/>
          <w:lang w:eastAsia="nb-NO"/>
        </w:rPr>
        <w:t xml:space="preserve"> formally </w:t>
      </w:r>
      <w:r w:rsidRPr="00FA7799">
        <w:rPr>
          <w:rFonts w:ascii="Calibri" w:eastAsia="Times New Roman" w:hAnsi="Calibri" w:cs="Times New Roman"/>
          <w:lang w:eastAsia="nb-NO"/>
        </w:rPr>
        <w:t>equal</w:t>
      </w:r>
      <w:r w:rsidRPr="00E31CAF">
        <w:rPr>
          <w:rFonts w:ascii="Calibri" w:eastAsia="Times New Roman" w:hAnsi="Calibri" w:cs="Times New Roman"/>
          <w:lang w:eastAsia="nb-NO"/>
        </w:rPr>
        <w:t xml:space="preserve"> to the EU and the United States. </w:t>
      </w:r>
      <w:r w:rsidRPr="00E31CAF">
        <w:rPr>
          <w:rFonts w:ascii="Calibri" w:eastAsia="Times New Roman" w:hAnsi="Calibri" w:cs="Times New Roman"/>
          <w:shd w:val="clear" w:color="auto" w:fill="FFFFFF" w:themeFill="background1"/>
          <w:lang w:eastAsia="nb-NO"/>
        </w:rPr>
        <w:t>Alternatively Norway may participat</w:t>
      </w:r>
      <w:r w:rsidRPr="00880BE1">
        <w:rPr>
          <w:rFonts w:ascii="Calibri" w:eastAsia="Times New Roman" w:hAnsi="Calibri" w:cs="Times New Roman"/>
          <w:shd w:val="clear" w:color="auto" w:fill="FFFFFF" w:themeFill="background1"/>
          <w:lang w:eastAsia="nb-NO"/>
        </w:rPr>
        <w:t>e</w:t>
      </w:r>
      <w:r w:rsidRPr="00E31CAF">
        <w:rPr>
          <w:rFonts w:ascii="Calibri" w:eastAsia="Times New Roman" w:hAnsi="Calibri" w:cs="Times New Roman"/>
          <w:shd w:val="clear" w:color="auto" w:fill="FFFFFF" w:themeFill="background1"/>
          <w:lang w:eastAsia="nb-NO"/>
        </w:rPr>
        <w:t xml:space="preserve"> in a European pillar in the same way </w:t>
      </w:r>
      <w:r w:rsidRPr="00880BE1">
        <w:rPr>
          <w:rFonts w:ascii="Calibri" w:eastAsia="Times New Roman" w:hAnsi="Calibri" w:cs="Times New Roman"/>
          <w:shd w:val="clear" w:color="auto" w:fill="FFFFFF" w:themeFill="background1"/>
          <w:lang w:eastAsia="nb-NO"/>
        </w:rPr>
        <w:t>as</w:t>
      </w:r>
      <w:r w:rsidRPr="00E31CAF">
        <w:rPr>
          <w:rFonts w:ascii="Calibri" w:eastAsia="Times New Roman" w:hAnsi="Calibri" w:cs="Times New Roman"/>
          <w:shd w:val="clear" w:color="auto" w:fill="FFFFFF" w:themeFill="background1"/>
          <w:lang w:eastAsia="nb-NO"/>
        </w:rPr>
        <w:t xml:space="preserve"> in today's "Open Skies" agreement on </w:t>
      </w:r>
      <w:r w:rsidRPr="00880BE1">
        <w:rPr>
          <w:rFonts w:ascii="Calibri" w:eastAsia="Times New Roman" w:hAnsi="Calibri" w:cs="Times New Roman"/>
          <w:shd w:val="clear" w:color="auto" w:fill="FFFFFF" w:themeFill="background1"/>
          <w:lang w:eastAsia="nb-NO"/>
        </w:rPr>
        <w:t>air traffic</w:t>
      </w:r>
      <w:r w:rsidRPr="00E31CAF">
        <w:rPr>
          <w:rFonts w:ascii="Calibri" w:eastAsia="Times New Roman" w:hAnsi="Calibri" w:cs="Times New Roman"/>
          <w:shd w:val="clear" w:color="auto" w:fill="FFFFFF" w:themeFill="background1"/>
          <w:lang w:eastAsia="nb-NO"/>
        </w:rPr>
        <w:t>. I</w:t>
      </w:r>
      <w:r w:rsidRPr="00E31CAF">
        <w:rPr>
          <w:rFonts w:ascii="Calibri" w:eastAsia="Times New Roman" w:hAnsi="Calibri" w:cs="Times New Roman"/>
          <w:lang w:eastAsia="nb-NO"/>
        </w:rPr>
        <w:t xml:space="preserve">f </w:t>
      </w:r>
      <w:r w:rsidRPr="00880BE1">
        <w:rPr>
          <w:rFonts w:ascii="Calibri" w:eastAsia="Times New Roman" w:hAnsi="Calibri" w:cs="Times New Roman"/>
          <w:lang w:eastAsia="nb-NO"/>
        </w:rPr>
        <w:t xml:space="preserve">TTIP </w:t>
      </w:r>
      <w:r w:rsidRPr="00E31CAF">
        <w:rPr>
          <w:rFonts w:ascii="Calibri" w:eastAsia="Times New Roman" w:hAnsi="Calibri" w:cs="Times New Roman"/>
          <w:lang w:eastAsia="nb-NO"/>
        </w:rPr>
        <w:t>succe</w:t>
      </w:r>
      <w:r w:rsidRPr="00880BE1">
        <w:rPr>
          <w:rFonts w:ascii="Calibri" w:eastAsia="Times New Roman" w:hAnsi="Calibri" w:cs="Times New Roman"/>
          <w:lang w:eastAsia="nb-NO"/>
        </w:rPr>
        <w:t>eds</w:t>
      </w:r>
      <w:r w:rsidRPr="00E31CAF">
        <w:rPr>
          <w:rFonts w:ascii="Calibri" w:eastAsia="Times New Roman" w:hAnsi="Calibri" w:cs="Times New Roman"/>
          <w:lang w:eastAsia="nb-NO"/>
        </w:rPr>
        <w:t xml:space="preserve"> </w:t>
      </w:r>
      <w:r w:rsidRPr="00880BE1">
        <w:rPr>
          <w:rFonts w:ascii="Calibri" w:eastAsia="Times New Roman" w:hAnsi="Calibri" w:cs="Times New Roman"/>
          <w:lang w:eastAsia="nb-NO"/>
        </w:rPr>
        <w:t>in</w:t>
      </w:r>
      <w:r w:rsidRPr="00E31CAF">
        <w:rPr>
          <w:rFonts w:ascii="Calibri" w:eastAsia="Times New Roman" w:hAnsi="Calibri" w:cs="Times New Roman"/>
          <w:lang w:eastAsia="nb-NO"/>
        </w:rPr>
        <w:t xml:space="preserve"> establish</w:t>
      </w:r>
      <w:r w:rsidRPr="00880BE1">
        <w:rPr>
          <w:rFonts w:ascii="Calibri" w:eastAsia="Times New Roman" w:hAnsi="Calibri" w:cs="Times New Roman"/>
          <w:lang w:eastAsia="nb-NO"/>
        </w:rPr>
        <w:t>ing</w:t>
      </w:r>
      <w:r w:rsidRPr="00E31CAF">
        <w:rPr>
          <w:rFonts w:ascii="Calibri" w:eastAsia="Times New Roman" w:hAnsi="Calibri" w:cs="Times New Roman"/>
          <w:lang w:eastAsia="nb-NO"/>
        </w:rPr>
        <w:t xml:space="preserve"> comprehensive regulatory </w:t>
      </w:r>
      <w:r w:rsidRPr="00FA7799">
        <w:rPr>
          <w:rFonts w:ascii="Calibri" w:eastAsia="Times New Roman" w:hAnsi="Calibri" w:cs="Times New Roman"/>
          <w:lang w:eastAsia="nb-NO"/>
        </w:rPr>
        <w:t xml:space="preserve">cooperation, the latter </w:t>
      </w:r>
      <w:r w:rsidRPr="00E31CAF">
        <w:rPr>
          <w:rFonts w:ascii="Calibri" w:eastAsia="Times New Roman" w:hAnsi="Calibri" w:cs="Times New Roman"/>
          <w:lang w:eastAsia="nb-NO"/>
        </w:rPr>
        <w:t xml:space="preserve">solution </w:t>
      </w:r>
      <w:r>
        <w:rPr>
          <w:rFonts w:ascii="Calibri" w:eastAsia="Times New Roman" w:hAnsi="Calibri" w:cs="Times New Roman"/>
          <w:lang w:eastAsia="nb-NO"/>
        </w:rPr>
        <w:t xml:space="preserve">is </w:t>
      </w:r>
      <w:r w:rsidRPr="00E31CAF">
        <w:rPr>
          <w:rFonts w:ascii="Calibri" w:eastAsia="Times New Roman" w:hAnsi="Calibri" w:cs="Times New Roman"/>
          <w:lang w:eastAsia="nb-NO"/>
        </w:rPr>
        <w:t xml:space="preserve">most likely. Such a solution </w:t>
      </w:r>
      <w:r w:rsidRPr="00FA7799">
        <w:rPr>
          <w:rFonts w:ascii="Calibri" w:eastAsia="Times New Roman" w:hAnsi="Calibri" w:cs="Times New Roman"/>
          <w:lang w:eastAsia="nb-NO"/>
        </w:rPr>
        <w:t>implies that Norway will</w:t>
      </w:r>
      <w:r w:rsidRPr="00E31CAF">
        <w:rPr>
          <w:rFonts w:ascii="Calibri" w:eastAsia="Times New Roman" w:hAnsi="Calibri" w:cs="Times New Roman"/>
          <w:lang w:eastAsia="nb-NO"/>
        </w:rPr>
        <w:t xml:space="preserve"> become more closely </w:t>
      </w:r>
      <w:r w:rsidRPr="00FA7799">
        <w:rPr>
          <w:rFonts w:ascii="Calibri" w:eastAsia="Times New Roman" w:hAnsi="Calibri" w:cs="Times New Roman"/>
          <w:lang w:eastAsia="nb-NO"/>
        </w:rPr>
        <w:t>integrated with</w:t>
      </w:r>
      <w:r w:rsidRPr="00E31CAF">
        <w:rPr>
          <w:rFonts w:ascii="Calibri" w:eastAsia="Times New Roman" w:hAnsi="Calibri" w:cs="Times New Roman"/>
          <w:lang w:eastAsia="nb-NO"/>
        </w:rPr>
        <w:t xml:space="preserve"> the European Union also in trade policy towards third countries.</w:t>
      </w:r>
    </w:p>
    <w:p w:rsidR="00880BE1" w:rsidRPr="00E31CAF" w:rsidRDefault="00880BE1" w:rsidP="00CC73AD">
      <w:pPr>
        <w:jc w:val="both"/>
        <w:rPr>
          <w:rFonts w:ascii="Calibri" w:eastAsia="Times New Roman" w:hAnsi="Calibri" w:cs="Times New Roman"/>
          <w:lang w:val="nb-NO" w:eastAsia="nb-NO"/>
        </w:rPr>
      </w:pPr>
      <w:r w:rsidRPr="00E31CAF">
        <w:rPr>
          <w:rFonts w:ascii="Calibri" w:eastAsia="Times New Roman" w:hAnsi="Calibri" w:cs="Times New Roman"/>
          <w:lang w:eastAsia="nb-NO"/>
        </w:rPr>
        <w:t xml:space="preserve">Norwegian entry into TTIP </w:t>
      </w:r>
      <w:r w:rsidRPr="00FA7799">
        <w:rPr>
          <w:rFonts w:ascii="Calibri" w:eastAsia="Times New Roman" w:hAnsi="Calibri" w:cs="Times New Roman"/>
          <w:lang w:eastAsia="nb-NO"/>
        </w:rPr>
        <w:t>implies</w:t>
      </w:r>
      <w:r w:rsidRPr="00E31CAF">
        <w:rPr>
          <w:rFonts w:ascii="Calibri" w:eastAsia="Times New Roman" w:hAnsi="Calibri" w:cs="Times New Roman"/>
          <w:lang w:eastAsia="nb-NO"/>
        </w:rPr>
        <w:t xml:space="preserve"> that we have to accept the established rules and negotiate </w:t>
      </w:r>
      <w:r w:rsidRPr="00FA7799">
        <w:rPr>
          <w:rFonts w:ascii="Calibri" w:eastAsia="Times New Roman" w:hAnsi="Calibri" w:cs="Times New Roman"/>
          <w:lang w:eastAsia="nb-NO"/>
        </w:rPr>
        <w:t xml:space="preserve">bilaterally </w:t>
      </w:r>
      <w:r w:rsidRPr="00E31CAF">
        <w:rPr>
          <w:rFonts w:ascii="Calibri" w:eastAsia="Times New Roman" w:hAnsi="Calibri" w:cs="Times New Roman"/>
          <w:lang w:eastAsia="nb-NO"/>
        </w:rPr>
        <w:t xml:space="preserve">with the </w:t>
      </w:r>
      <w:r>
        <w:rPr>
          <w:rFonts w:ascii="Calibri" w:eastAsia="Times New Roman" w:hAnsi="Calibri" w:cs="Times New Roman"/>
          <w:lang w:eastAsia="nb-NO"/>
        </w:rPr>
        <w:t>EU</w:t>
      </w:r>
      <w:r w:rsidRPr="00E31CAF">
        <w:rPr>
          <w:rFonts w:ascii="Calibri" w:eastAsia="Times New Roman" w:hAnsi="Calibri" w:cs="Times New Roman"/>
          <w:lang w:eastAsia="nb-NO"/>
        </w:rPr>
        <w:t xml:space="preserve"> and the </w:t>
      </w:r>
      <w:r>
        <w:rPr>
          <w:rFonts w:ascii="Calibri" w:eastAsia="Times New Roman" w:hAnsi="Calibri" w:cs="Times New Roman"/>
          <w:lang w:eastAsia="nb-NO"/>
        </w:rPr>
        <w:t>USA</w:t>
      </w:r>
      <w:r w:rsidRPr="00E31CAF">
        <w:rPr>
          <w:rFonts w:ascii="Calibri" w:eastAsia="Times New Roman" w:hAnsi="Calibri" w:cs="Times New Roman"/>
          <w:lang w:eastAsia="nb-NO"/>
        </w:rPr>
        <w:t xml:space="preserve"> on market access. The negotiations with the </w:t>
      </w:r>
      <w:r>
        <w:rPr>
          <w:rFonts w:ascii="Calibri" w:eastAsia="Times New Roman" w:hAnsi="Calibri" w:cs="Times New Roman"/>
          <w:lang w:eastAsia="nb-NO"/>
        </w:rPr>
        <w:t>USA</w:t>
      </w:r>
      <w:r w:rsidRPr="00E31CAF">
        <w:rPr>
          <w:rFonts w:ascii="Calibri" w:eastAsia="Times New Roman" w:hAnsi="Calibri" w:cs="Times New Roman"/>
          <w:lang w:eastAsia="nb-NO"/>
        </w:rPr>
        <w:t xml:space="preserve"> will apply to all aspects of market access, while the negotiations with the </w:t>
      </w:r>
      <w:r>
        <w:rPr>
          <w:rFonts w:ascii="Calibri" w:eastAsia="Times New Roman" w:hAnsi="Calibri" w:cs="Times New Roman"/>
          <w:lang w:eastAsia="nb-NO"/>
        </w:rPr>
        <w:t>EU</w:t>
      </w:r>
      <w:r w:rsidRPr="00E31CAF">
        <w:rPr>
          <w:rFonts w:ascii="Calibri" w:eastAsia="Times New Roman" w:hAnsi="Calibri" w:cs="Times New Roman"/>
          <w:lang w:eastAsia="nb-NO"/>
        </w:rPr>
        <w:t xml:space="preserve"> will apply only to areas in which the EEA agreement is not already </w:t>
      </w:r>
      <w:r w:rsidRPr="00FA7799">
        <w:rPr>
          <w:rFonts w:ascii="Calibri" w:eastAsia="Times New Roman" w:hAnsi="Calibri" w:cs="Times New Roman"/>
          <w:lang w:eastAsia="nb-NO"/>
        </w:rPr>
        <w:t>deeper</w:t>
      </w:r>
      <w:r w:rsidRPr="00E31CAF">
        <w:rPr>
          <w:rFonts w:ascii="Calibri" w:eastAsia="Times New Roman" w:hAnsi="Calibri" w:cs="Times New Roman"/>
          <w:lang w:eastAsia="nb-NO"/>
        </w:rPr>
        <w:t xml:space="preserve">. The negotiations with the </w:t>
      </w:r>
      <w:r>
        <w:rPr>
          <w:rFonts w:ascii="Calibri" w:eastAsia="Times New Roman" w:hAnsi="Calibri" w:cs="Times New Roman"/>
          <w:lang w:eastAsia="nb-NO"/>
        </w:rPr>
        <w:t>EU</w:t>
      </w:r>
      <w:r w:rsidRPr="00E31CAF">
        <w:rPr>
          <w:rFonts w:ascii="Calibri" w:eastAsia="Times New Roman" w:hAnsi="Calibri" w:cs="Times New Roman"/>
          <w:lang w:eastAsia="nb-NO"/>
        </w:rPr>
        <w:t xml:space="preserve"> </w:t>
      </w:r>
      <w:r>
        <w:rPr>
          <w:rFonts w:ascii="Calibri" w:eastAsia="Times New Roman" w:hAnsi="Calibri" w:cs="Times New Roman"/>
          <w:lang w:eastAsia="nb-NO"/>
        </w:rPr>
        <w:t>for</w:t>
      </w:r>
      <w:r w:rsidRPr="00E31CAF">
        <w:rPr>
          <w:rFonts w:ascii="Calibri" w:eastAsia="Times New Roman" w:hAnsi="Calibri" w:cs="Times New Roman"/>
          <w:lang w:eastAsia="nb-NO"/>
        </w:rPr>
        <w:t xml:space="preserve"> entry into TTIP will thus include</w:t>
      </w:r>
      <w:r w:rsidRPr="00FA7799">
        <w:rPr>
          <w:rFonts w:ascii="Calibri" w:eastAsia="Times New Roman" w:hAnsi="Calibri" w:cs="Times New Roman"/>
          <w:lang w:eastAsia="nb-NO"/>
        </w:rPr>
        <w:t>,</w:t>
      </w:r>
      <w:r w:rsidRPr="00E31CAF">
        <w:rPr>
          <w:rFonts w:ascii="Calibri" w:eastAsia="Times New Roman" w:hAnsi="Calibri" w:cs="Times New Roman"/>
          <w:lang w:eastAsia="nb-NO"/>
        </w:rPr>
        <w:t xml:space="preserve"> among other </w:t>
      </w:r>
      <w:r w:rsidRPr="00FA7799">
        <w:rPr>
          <w:rFonts w:ascii="Calibri" w:eastAsia="Times New Roman" w:hAnsi="Calibri" w:cs="Times New Roman"/>
          <w:lang w:eastAsia="nb-NO"/>
        </w:rPr>
        <w:t>issues,</w:t>
      </w:r>
      <w:r w:rsidRPr="00E31CAF">
        <w:rPr>
          <w:rFonts w:ascii="Calibri" w:eastAsia="Times New Roman" w:hAnsi="Calibri" w:cs="Times New Roman"/>
          <w:lang w:eastAsia="nb-NO"/>
        </w:rPr>
        <w:t xml:space="preserve"> </w:t>
      </w:r>
      <w:r w:rsidRPr="00FA7799">
        <w:rPr>
          <w:rFonts w:ascii="Calibri" w:eastAsia="Times New Roman" w:hAnsi="Calibri" w:cs="Times New Roman"/>
          <w:lang w:eastAsia="nb-NO"/>
        </w:rPr>
        <w:t>tariffs</w:t>
      </w:r>
      <w:r w:rsidRPr="00E31CAF">
        <w:rPr>
          <w:rFonts w:ascii="Calibri" w:eastAsia="Times New Roman" w:hAnsi="Calibri" w:cs="Times New Roman"/>
          <w:lang w:eastAsia="nb-NO"/>
        </w:rPr>
        <w:t xml:space="preserve"> for seafood and agriculture.</w:t>
      </w:r>
    </w:p>
    <w:p w:rsidR="00880BE1" w:rsidRPr="00E31CAF" w:rsidRDefault="00880BE1" w:rsidP="00CC73AD">
      <w:pPr>
        <w:jc w:val="both"/>
        <w:rPr>
          <w:rFonts w:ascii="Calibri" w:eastAsia="Times New Roman" w:hAnsi="Calibri" w:cs="Times New Roman"/>
          <w:lang w:val="nb-NO" w:eastAsia="nb-NO"/>
        </w:rPr>
      </w:pPr>
      <w:r w:rsidRPr="00E31CAF">
        <w:rPr>
          <w:rFonts w:ascii="Calibri" w:eastAsia="Times New Roman" w:hAnsi="Calibri" w:cs="Times New Roman"/>
          <w:lang w:eastAsia="nb-NO"/>
        </w:rPr>
        <w:t>Alternatively to the membership in TTIP</w:t>
      </w:r>
      <w:r w:rsidRPr="00FA7799">
        <w:rPr>
          <w:rFonts w:ascii="Calibri" w:eastAsia="Times New Roman" w:hAnsi="Calibri" w:cs="Times New Roman"/>
          <w:lang w:eastAsia="nb-NO"/>
        </w:rPr>
        <w:t>,</w:t>
      </w:r>
      <w:r w:rsidRPr="00E31CAF">
        <w:rPr>
          <w:rFonts w:ascii="Calibri" w:eastAsia="Times New Roman" w:hAnsi="Calibri" w:cs="Times New Roman"/>
          <w:lang w:eastAsia="nb-NO"/>
        </w:rPr>
        <w:t xml:space="preserve"> Norway or EFTA </w:t>
      </w:r>
      <w:r w:rsidRPr="00FA7799">
        <w:rPr>
          <w:rFonts w:ascii="Calibri" w:eastAsia="Times New Roman" w:hAnsi="Calibri" w:cs="Times New Roman"/>
          <w:lang w:eastAsia="nb-NO"/>
        </w:rPr>
        <w:t>may</w:t>
      </w:r>
      <w:r w:rsidRPr="00E31CAF">
        <w:rPr>
          <w:rFonts w:ascii="Calibri" w:eastAsia="Times New Roman" w:hAnsi="Calibri" w:cs="Times New Roman"/>
          <w:lang w:eastAsia="nb-NO"/>
        </w:rPr>
        <w:t xml:space="preserve"> </w:t>
      </w:r>
      <w:r>
        <w:rPr>
          <w:rFonts w:ascii="Calibri" w:eastAsia="Times New Roman" w:hAnsi="Calibri" w:cs="Times New Roman"/>
          <w:lang w:eastAsia="nb-NO"/>
        </w:rPr>
        <w:t>initiate</w:t>
      </w:r>
      <w:r w:rsidRPr="00E31CAF">
        <w:rPr>
          <w:rFonts w:ascii="Calibri" w:eastAsia="Times New Roman" w:hAnsi="Calibri" w:cs="Times New Roman"/>
          <w:lang w:eastAsia="nb-NO"/>
        </w:rPr>
        <w:t xml:space="preserve"> a trade agreement with the United States</w:t>
      </w:r>
      <w:r w:rsidRPr="00FA7799">
        <w:rPr>
          <w:rFonts w:ascii="Calibri" w:eastAsia="Times New Roman" w:hAnsi="Calibri" w:cs="Times New Roman"/>
          <w:lang w:eastAsia="nb-NO"/>
        </w:rPr>
        <w:t xml:space="preserve"> only</w:t>
      </w:r>
      <w:r w:rsidRPr="00E31CAF">
        <w:rPr>
          <w:rFonts w:ascii="Calibri" w:eastAsia="Times New Roman" w:hAnsi="Calibri" w:cs="Times New Roman"/>
          <w:lang w:eastAsia="nb-NO"/>
        </w:rPr>
        <w:t xml:space="preserve">. Such </w:t>
      </w:r>
      <w:r w:rsidRPr="00FA7799">
        <w:rPr>
          <w:rFonts w:ascii="Calibri" w:eastAsia="Times New Roman" w:hAnsi="Calibri" w:cs="Times New Roman"/>
          <w:lang w:eastAsia="nb-NO"/>
        </w:rPr>
        <w:t>an agreement</w:t>
      </w:r>
      <w:r w:rsidRPr="00E31CAF">
        <w:rPr>
          <w:rFonts w:ascii="Calibri" w:eastAsia="Times New Roman" w:hAnsi="Calibri" w:cs="Times New Roman"/>
          <w:lang w:eastAsia="nb-NO"/>
        </w:rPr>
        <w:t xml:space="preserve"> would probably be less extensive </w:t>
      </w:r>
      <w:r w:rsidRPr="00FA7799">
        <w:rPr>
          <w:rFonts w:ascii="Calibri" w:eastAsia="Times New Roman" w:hAnsi="Calibri" w:cs="Times New Roman"/>
          <w:lang w:eastAsia="nb-NO"/>
        </w:rPr>
        <w:t>i</w:t>
      </w:r>
      <w:r w:rsidRPr="00E31CAF">
        <w:rPr>
          <w:rFonts w:ascii="Calibri" w:eastAsia="Times New Roman" w:hAnsi="Calibri" w:cs="Times New Roman"/>
          <w:lang w:eastAsia="nb-NO"/>
        </w:rPr>
        <w:t xml:space="preserve">n the regulatory area. </w:t>
      </w:r>
      <w:r w:rsidRPr="00FA7799">
        <w:rPr>
          <w:rFonts w:ascii="Calibri" w:eastAsia="Times New Roman" w:hAnsi="Calibri" w:cs="Times New Roman"/>
          <w:lang w:eastAsia="nb-NO"/>
        </w:rPr>
        <w:t>Su</w:t>
      </w:r>
      <w:r w:rsidRPr="00E31CAF">
        <w:rPr>
          <w:rFonts w:ascii="Calibri" w:eastAsia="Times New Roman" w:hAnsi="Calibri" w:cs="Times New Roman"/>
          <w:lang w:eastAsia="nb-NO"/>
        </w:rPr>
        <w:t xml:space="preserve">ch an agreement will </w:t>
      </w:r>
      <w:r w:rsidRPr="00FA7799">
        <w:rPr>
          <w:rFonts w:ascii="Calibri" w:eastAsia="Times New Roman" w:hAnsi="Calibri" w:cs="Times New Roman"/>
          <w:lang w:eastAsia="nb-NO"/>
        </w:rPr>
        <w:t xml:space="preserve">also </w:t>
      </w:r>
      <w:r w:rsidRPr="00E31CAF">
        <w:rPr>
          <w:rFonts w:ascii="Calibri" w:eastAsia="Times New Roman" w:hAnsi="Calibri" w:cs="Times New Roman"/>
          <w:lang w:eastAsia="nb-NO"/>
        </w:rPr>
        <w:t xml:space="preserve">provide </w:t>
      </w:r>
      <w:r w:rsidRPr="00FA7799">
        <w:rPr>
          <w:rFonts w:ascii="Calibri" w:eastAsia="Times New Roman" w:hAnsi="Calibri" w:cs="Times New Roman"/>
          <w:lang w:eastAsia="nb-NO"/>
        </w:rPr>
        <w:t>an economic</w:t>
      </w:r>
      <w:r w:rsidRPr="00E31CAF">
        <w:rPr>
          <w:rFonts w:ascii="Calibri" w:eastAsia="Times New Roman" w:hAnsi="Calibri" w:cs="Times New Roman"/>
          <w:lang w:eastAsia="nb-NO"/>
        </w:rPr>
        <w:t xml:space="preserve"> gain for Norway, but less than </w:t>
      </w:r>
      <w:r w:rsidRPr="00FA7799">
        <w:rPr>
          <w:rFonts w:ascii="Calibri" w:eastAsia="Times New Roman" w:hAnsi="Calibri" w:cs="Times New Roman"/>
          <w:lang w:eastAsia="nb-NO"/>
        </w:rPr>
        <w:t>accession</w:t>
      </w:r>
      <w:r w:rsidRPr="00E31CAF">
        <w:rPr>
          <w:rFonts w:ascii="Calibri" w:eastAsia="Times New Roman" w:hAnsi="Calibri" w:cs="Times New Roman"/>
          <w:lang w:eastAsia="nb-NO"/>
        </w:rPr>
        <w:t xml:space="preserve"> to TTIP. For Norway as a whole</w:t>
      </w:r>
      <w:proofErr w:type="gramStart"/>
      <w:r w:rsidRPr="00FA7799">
        <w:rPr>
          <w:rFonts w:ascii="Calibri" w:eastAsia="Times New Roman" w:hAnsi="Calibri" w:cs="Times New Roman"/>
          <w:lang w:eastAsia="nb-NO"/>
        </w:rPr>
        <w:t>,  accession</w:t>
      </w:r>
      <w:proofErr w:type="gramEnd"/>
      <w:r w:rsidRPr="00FA7799">
        <w:rPr>
          <w:rFonts w:ascii="Calibri" w:eastAsia="Times New Roman" w:hAnsi="Calibri" w:cs="Times New Roman"/>
          <w:lang w:eastAsia="nb-NO"/>
        </w:rPr>
        <w:t xml:space="preserve"> to TTIP </w:t>
      </w:r>
      <w:r>
        <w:rPr>
          <w:rFonts w:ascii="Calibri" w:eastAsia="Times New Roman" w:hAnsi="Calibri" w:cs="Times New Roman"/>
          <w:lang w:eastAsia="nb-NO"/>
        </w:rPr>
        <w:t>creates</w:t>
      </w:r>
      <w:r w:rsidRPr="00E31CAF">
        <w:rPr>
          <w:rFonts w:ascii="Calibri" w:eastAsia="Times New Roman" w:hAnsi="Calibri" w:cs="Times New Roman"/>
          <w:lang w:eastAsia="nb-NO"/>
        </w:rPr>
        <w:t xml:space="preserve"> </w:t>
      </w:r>
      <w:r w:rsidRPr="00FA7799">
        <w:rPr>
          <w:rFonts w:ascii="Calibri" w:eastAsia="Times New Roman" w:hAnsi="Calibri" w:cs="Times New Roman"/>
          <w:lang w:eastAsia="nb-NO"/>
        </w:rPr>
        <w:t xml:space="preserve">an increase </w:t>
      </w:r>
      <w:r w:rsidRPr="00FA7799">
        <w:rPr>
          <w:rFonts w:ascii="Calibri" w:eastAsia="Times New Roman" w:hAnsi="Calibri" w:cs="Times New Roman"/>
          <w:lang w:eastAsia="nb-NO"/>
        </w:rPr>
        <w:lastRenderedPageBreak/>
        <w:t xml:space="preserve">in real income </w:t>
      </w:r>
      <w:r w:rsidRPr="00E31CAF">
        <w:rPr>
          <w:rFonts w:ascii="Calibri" w:eastAsia="Times New Roman" w:hAnsi="Calibri" w:cs="Times New Roman"/>
          <w:lang w:eastAsia="nb-NO"/>
        </w:rPr>
        <w:t xml:space="preserve">between 12.5 and 35 billion </w:t>
      </w:r>
      <w:r w:rsidRPr="00FA7799">
        <w:rPr>
          <w:rFonts w:ascii="Calibri" w:eastAsia="Times New Roman" w:hAnsi="Calibri" w:cs="Times New Roman"/>
          <w:lang w:eastAsia="nb-NO"/>
        </w:rPr>
        <w:t>NOK</w:t>
      </w:r>
      <w:r w:rsidRPr="00E31CAF">
        <w:rPr>
          <w:rFonts w:ascii="Calibri" w:eastAsia="Times New Roman" w:hAnsi="Calibri" w:cs="Times New Roman"/>
          <w:lang w:eastAsia="nb-NO"/>
        </w:rPr>
        <w:t xml:space="preserve"> according to various scenarios, while a free trade agreement with the United States </w:t>
      </w:r>
      <w:r>
        <w:rPr>
          <w:rFonts w:ascii="Calibri" w:eastAsia="Times New Roman" w:hAnsi="Calibri" w:cs="Times New Roman"/>
          <w:lang w:eastAsia="nb-NO"/>
        </w:rPr>
        <w:t>results in</w:t>
      </w:r>
      <w:r w:rsidRPr="00E31CAF">
        <w:rPr>
          <w:rFonts w:ascii="Calibri" w:eastAsia="Times New Roman" w:hAnsi="Calibri" w:cs="Times New Roman"/>
          <w:lang w:eastAsia="nb-NO"/>
        </w:rPr>
        <w:t xml:space="preserve"> a gain </w:t>
      </w:r>
      <w:r>
        <w:rPr>
          <w:rFonts w:ascii="Calibri" w:eastAsia="Times New Roman" w:hAnsi="Calibri" w:cs="Times New Roman"/>
          <w:lang w:eastAsia="nb-NO"/>
        </w:rPr>
        <w:t>of about</w:t>
      </w:r>
      <w:r w:rsidRPr="00E31CAF">
        <w:rPr>
          <w:rFonts w:ascii="Calibri" w:eastAsia="Times New Roman" w:hAnsi="Calibri" w:cs="Times New Roman"/>
          <w:lang w:eastAsia="nb-NO"/>
        </w:rPr>
        <w:t xml:space="preserve"> </w:t>
      </w:r>
      <w:r w:rsidRPr="00FA7799">
        <w:rPr>
          <w:rFonts w:ascii="Calibri" w:eastAsia="Times New Roman" w:hAnsi="Calibri" w:cs="Times New Roman"/>
          <w:lang w:eastAsia="nb-NO"/>
        </w:rPr>
        <w:t xml:space="preserve">7.4 </w:t>
      </w:r>
      <w:r w:rsidRPr="00E31CAF">
        <w:rPr>
          <w:rFonts w:ascii="Calibri" w:eastAsia="Times New Roman" w:hAnsi="Calibri" w:cs="Times New Roman"/>
          <w:lang w:eastAsia="nb-NO"/>
        </w:rPr>
        <w:t xml:space="preserve"> billion</w:t>
      </w:r>
      <w:r w:rsidRPr="00FA7799">
        <w:rPr>
          <w:rFonts w:ascii="Calibri" w:eastAsia="Times New Roman" w:hAnsi="Calibri" w:cs="Times New Roman"/>
          <w:lang w:eastAsia="nb-NO"/>
        </w:rPr>
        <w:t xml:space="preserve"> NOK</w:t>
      </w:r>
      <w:r w:rsidRPr="00E31CAF">
        <w:rPr>
          <w:rFonts w:ascii="Calibri" w:eastAsia="Times New Roman" w:hAnsi="Calibri" w:cs="Times New Roman"/>
          <w:lang w:eastAsia="nb-NO"/>
        </w:rPr>
        <w:t xml:space="preserve">. </w:t>
      </w:r>
    </w:p>
    <w:p w:rsidR="00880BE1" w:rsidRPr="00E31CAF" w:rsidRDefault="00880BE1" w:rsidP="00CC73AD">
      <w:pPr>
        <w:jc w:val="both"/>
        <w:rPr>
          <w:rFonts w:ascii="Calibri" w:eastAsia="Times New Roman" w:hAnsi="Calibri" w:cs="Times New Roman"/>
          <w:lang w:val="nb-NO" w:eastAsia="nb-NO"/>
        </w:rPr>
      </w:pPr>
      <w:r w:rsidRPr="00E31CAF">
        <w:rPr>
          <w:rFonts w:ascii="Calibri" w:eastAsia="Times New Roman" w:hAnsi="Calibri" w:cs="Times New Roman"/>
          <w:lang w:eastAsia="nb-NO"/>
        </w:rPr>
        <w:t> </w:t>
      </w:r>
      <w:r w:rsidRPr="00FA7799">
        <w:rPr>
          <w:rFonts w:ascii="Calibri" w:eastAsia="Times New Roman" w:hAnsi="Calibri" w:cs="Times New Roman"/>
          <w:lang w:eastAsia="nb-NO"/>
        </w:rPr>
        <w:t>I</w:t>
      </w:r>
      <w:r w:rsidRPr="00FA7799">
        <w:rPr>
          <w:rFonts w:ascii="Calibri" w:eastAsia="Times New Roman" w:hAnsi="Calibri" w:cs="Times New Roman"/>
          <w:lang w:eastAsia="nb-NO"/>
        </w:rPr>
        <w:t xml:space="preserve">n TTIP there are also negotiations on so-called Investor-State Dispute Settlement (ISDS), </w:t>
      </w:r>
      <w:r w:rsidR="00CC73AD">
        <w:rPr>
          <w:rFonts w:ascii="Calibri" w:eastAsia="Times New Roman" w:hAnsi="Calibri" w:cs="Times New Roman"/>
          <w:lang w:eastAsia="nb-NO"/>
        </w:rPr>
        <w:t>whereby</w:t>
      </w:r>
      <w:r w:rsidRPr="00FA7799">
        <w:rPr>
          <w:rFonts w:ascii="Calibri" w:eastAsia="Times New Roman" w:hAnsi="Calibri" w:cs="Times New Roman"/>
          <w:lang w:eastAsia="nb-NO"/>
        </w:rPr>
        <w:t xml:space="preserve"> foreign owned companies can </w:t>
      </w:r>
      <w:r w:rsidR="00CC73AD">
        <w:rPr>
          <w:rFonts w:ascii="Calibri" w:eastAsia="Times New Roman" w:hAnsi="Calibri" w:cs="Times New Roman"/>
          <w:lang w:eastAsia="nb-NO"/>
        </w:rPr>
        <w:t>sue</w:t>
      </w:r>
      <w:r w:rsidRPr="00FA7799">
        <w:rPr>
          <w:rFonts w:ascii="Calibri" w:eastAsia="Times New Roman" w:hAnsi="Calibri" w:cs="Times New Roman"/>
          <w:lang w:eastAsia="nb-NO"/>
        </w:rPr>
        <w:t xml:space="preserve"> a State if they are unfairly </w:t>
      </w:r>
      <w:r w:rsidR="00CC73AD">
        <w:rPr>
          <w:rFonts w:ascii="Calibri" w:eastAsia="Times New Roman" w:hAnsi="Calibri" w:cs="Times New Roman"/>
          <w:lang w:eastAsia="nb-NO"/>
        </w:rPr>
        <w:t xml:space="preserve">or inappropriately </w:t>
      </w:r>
      <w:r w:rsidRPr="00FA7799">
        <w:rPr>
          <w:rFonts w:ascii="Calibri" w:eastAsia="Times New Roman" w:hAnsi="Calibri" w:cs="Times New Roman"/>
          <w:lang w:eastAsia="nb-NO"/>
        </w:rPr>
        <w:t xml:space="preserve">treated. Such rights also exist in national law but international tribunals have to some extent extended the interpretation of what is considered unfair. </w:t>
      </w:r>
      <w:r w:rsidRPr="00CC73AD">
        <w:rPr>
          <w:rFonts w:ascii="Calibri" w:eastAsia="Times New Roman" w:hAnsi="Calibri" w:cs="Times New Roman"/>
          <w:shd w:val="clear" w:color="auto" w:fill="FFFFFF" w:themeFill="background1"/>
          <w:lang w:eastAsia="nb-NO"/>
        </w:rPr>
        <w:t xml:space="preserve">The European Union has proposed a solution in TTIP with a permanent court as well as the rules that discipline the interpretation of the principles, and thus avoids that ISDS unduly interferes into the states’ "right to regulate". </w:t>
      </w:r>
      <w:r w:rsidRPr="00CC73AD">
        <w:rPr>
          <w:rFonts w:ascii="Calibri" w:eastAsia="Times New Roman" w:hAnsi="Calibri" w:cs="Times New Roman"/>
          <w:lang w:eastAsia="nb-NO"/>
        </w:rPr>
        <w:t>T</w:t>
      </w:r>
      <w:r w:rsidRPr="00FA7799">
        <w:rPr>
          <w:rFonts w:ascii="Calibri" w:eastAsia="Times New Roman" w:hAnsi="Calibri" w:cs="Times New Roman"/>
          <w:lang w:eastAsia="nb-NO"/>
        </w:rPr>
        <w:t xml:space="preserve">his and many other </w:t>
      </w:r>
      <w:r w:rsidR="00CC73AD">
        <w:rPr>
          <w:rFonts w:ascii="Calibri" w:eastAsia="Times New Roman" w:hAnsi="Calibri" w:cs="Times New Roman"/>
          <w:lang w:eastAsia="nb-NO"/>
        </w:rPr>
        <w:t>issues</w:t>
      </w:r>
      <w:r w:rsidRPr="00FA7799">
        <w:rPr>
          <w:rFonts w:ascii="Calibri" w:eastAsia="Times New Roman" w:hAnsi="Calibri" w:cs="Times New Roman"/>
          <w:lang w:eastAsia="nb-NO"/>
        </w:rPr>
        <w:t xml:space="preserve"> are analysed in this report and the seven background papers from the project.</w:t>
      </w:r>
    </w:p>
    <w:p w:rsidR="00DC553C" w:rsidRPr="002443A2" w:rsidRDefault="0026271C" w:rsidP="00DC553C">
      <w:pPr>
        <w:pStyle w:val="Heading1"/>
      </w:pPr>
      <w:r>
        <w:t>S</w:t>
      </w:r>
      <w:r w:rsidR="00DC553C" w:rsidRPr="002443A2">
        <w:t>ummary</w:t>
      </w:r>
      <w:r>
        <w:t xml:space="preserve"> and implications</w:t>
      </w:r>
      <w:r w:rsidR="00DC553C" w:rsidRPr="002443A2">
        <w:t xml:space="preserve"> </w:t>
      </w:r>
    </w:p>
    <w:p w:rsidR="00DC553C" w:rsidRPr="002443A2" w:rsidRDefault="00DC553C" w:rsidP="00DC553C">
      <w:pPr>
        <w:jc w:val="both"/>
      </w:pPr>
      <w:r w:rsidRPr="002443A2">
        <w:t>At the time of writing (late October 2016), TTIP negotiations proceed with determination and gradual progress in spite of some rumo</w:t>
      </w:r>
      <w:r>
        <w:t>u</w:t>
      </w:r>
      <w:r w:rsidRPr="002443A2">
        <w:t>rs to the opposite. Some politicians in the EU and the USA have voiced opposition to TTIP but they are yet in a minority. But TTIP has not been concluded and this is unlikely to happen under Obama. A favourable scenario for TTIP is that (i) TPP is ratified in the USA and CETA in Europe; (ii) a new U.S. president is elected that supports TTIP; (iii) there is a natural pause while a new administration takes over in the USA and important elections are carried out in Europe</w:t>
      </w:r>
      <w:r w:rsidR="009C32F5">
        <w:t xml:space="preserve"> i 20</w:t>
      </w:r>
      <w:r w:rsidRPr="002443A2">
        <w:t>; (iv) TTIP negotiations proceed, negotiations are successfully concluded in 2018 and the agreement is implemented after 18 months of ratification. There are hurdles on this path but it is possible.</w:t>
      </w:r>
    </w:p>
    <w:p w:rsidR="00DC553C" w:rsidRPr="002443A2" w:rsidRDefault="00DC553C" w:rsidP="00DC553C">
      <w:pPr>
        <w:jc w:val="both"/>
      </w:pPr>
      <w:r w:rsidRPr="002443A2">
        <w:t>TTIP raises a number of broader issues about international economic integration in general, and about Norway’s trade policy in particular. These issues are relevant and important no matter how long it takes with TTIP and this study provides new facts, analysis and insight in a number of these areas.</w:t>
      </w:r>
    </w:p>
    <w:p w:rsidR="00DC553C" w:rsidRPr="002443A2" w:rsidRDefault="00DC553C" w:rsidP="00DC553C">
      <w:pPr>
        <w:jc w:val="both"/>
      </w:pPr>
      <w:r w:rsidRPr="002443A2">
        <w:t>Some of the issues studied are politically controversial, such as agricultural liberalization, food and health regulation, investor-state dispute settlement, Norway’s relationship with the EU and so on. By focusing on methods and facts, we address the issues without going into politics. Our aim is that the study will be useful across the political landscape.</w:t>
      </w:r>
      <w:r w:rsidR="00B70020">
        <w:t xml:space="preserve"> Our study is research and not a committee report, and we have commented but not voted on the drafts.</w:t>
      </w:r>
    </w:p>
    <w:p w:rsidR="00DC553C" w:rsidRPr="002443A2" w:rsidRDefault="00DC553C" w:rsidP="00DC553C">
      <w:pPr>
        <w:jc w:val="both"/>
      </w:pPr>
      <w:r w:rsidRPr="002443A2">
        <w:t xml:space="preserve">For international trade policy, TTIP is a signal that the major actors of the world economy </w:t>
      </w:r>
      <w:proofErr w:type="gramStart"/>
      <w:r w:rsidRPr="002443A2">
        <w:t>have ”</w:t>
      </w:r>
      <w:proofErr w:type="gramEnd"/>
      <w:r w:rsidRPr="002443A2">
        <w:t xml:space="preserve">gone bilateral”. A few years ago that would be impossible since they would fear that the WTO would be undermined. The WTO remains important but major reforms are more difficult with 164 members so many of these may have to be promoted outside the WTO. Will TTIP take the lead and create global standards that are followed by others? Can global trade reforms be developed within </w:t>
      </w:r>
      <w:proofErr w:type="gramStart"/>
      <w:r w:rsidRPr="002443A2">
        <w:t>a ”</w:t>
      </w:r>
      <w:proofErr w:type="gramEnd"/>
      <w:r w:rsidRPr="002443A2">
        <w:t xml:space="preserve">spaghetti bowl” of bilaterals or should this be done in ”plurilateral” agreements with more participants? TTIP is also a test case for </w:t>
      </w:r>
      <w:r w:rsidRPr="002443A2">
        <w:lastRenderedPageBreak/>
        <w:t xml:space="preserve">regulatory cooperation across continents with different regulatory systems.  Will they succeed in bridging the gap or are differences between their approaches too large? </w:t>
      </w:r>
    </w:p>
    <w:p w:rsidR="00DC553C" w:rsidRPr="002443A2" w:rsidRDefault="00DC553C" w:rsidP="00DC553C">
      <w:pPr>
        <w:pStyle w:val="Heading3"/>
      </w:pPr>
      <w:r w:rsidRPr="002443A2">
        <w:t>Norway: Trade policy challenges</w:t>
      </w:r>
    </w:p>
    <w:p w:rsidR="00DC553C" w:rsidRPr="002443A2" w:rsidRDefault="00DC553C" w:rsidP="00DC553C">
      <w:pPr>
        <w:jc w:val="both"/>
      </w:pPr>
      <w:r w:rsidRPr="002443A2">
        <w:t xml:space="preserve">In post-war trade politics, Norway was in the rich man’s club and in the past always near the ”top of the table” at the GATT/WTO and in Europe, but with TTIP we are on the waiting list. Beyond the EEA, Norway has obtained many free trade agreements via EFTA, but we are missing agreements with many of the largest countries outside the EEA. There are various reasons underlying this fact. </w:t>
      </w:r>
    </w:p>
    <w:p w:rsidR="00DC553C" w:rsidRPr="002443A2" w:rsidRDefault="00DC553C" w:rsidP="00DC553C">
      <w:pPr>
        <w:pStyle w:val="ListParagraph"/>
        <w:numPr>
          <w:ilvl w:val="0"/>
          <w:numId w:val="37"/>
        </w:numPr>
        <w:jc w:val="both"/>
      </w:pPr>
      <w:r w:rsidRPr="002443A2">
        <w:t xml:space="preserve">To some extent it is because we are a small country and an open market in most areas so the economic interest or need of other parties may be limited. So when Japan was afraid of free trade in fishery products some years ago, it was sufficient to conclude that they were not interested in an FTA with Norway. </w:t>
      </w:r>
    </w:p>
    <w:p w:rsidR="00DC553C" w:rsidRPr="002443A2" w:rsidRDefault="00DC553C" w:rsidP="00DC553C">
      <w:pPr>
        <w:pStyle w:val="ListParagraph"/>
        <w:numPr>
          <w:ilvl w:val="0"/>
          <w:numId w:val="37"/>
        </w:numPr>
        <w:jc w:val="both"/>
      </w:pPr>
      <w:r w:rsidRPr="002443A2">
        <w:t xml:space="preserve">Some countries have an interest in agricultural exports and unless Norway or EFTA are willing to open their markets, these trade partners would not be interested in agreements. This is likely to be the case for the </w:t>
      </w:r>
      <w:proofErr w:type="gramStart"/>
      <w:r w:rsidRPr="002443A2">
        <w:t>USA,</w:t>
      </w:r>
      <w:proofErr w:type="gramEnd"/>
      <w:r w:rsidRPr="002443A2">
        <w:t xml:space="preserve"> it applies to Mercosur – in particular Brazil, and in the past Australia and New Zealand have declined invitations to negotiate agreements with EFTA for such reasons. </w:t>
      </w:r>
    </w:p>
    <w:p w:rsidR="00DC553C" w:rsidRPr="002443A2" w:rsidRDefault="00DC553C" w:rsidP="00DC553C">
      <w:pPr>
        <w:pStyle w:val="ListParagraph"/>
        <w:numPr>
          <w:ilvl w:val="0"/>
          <w:numId w:val="37"/>
        </w:numPr>
        <w:jc w:val="both"/>
      </w:pPr>
      <w:r w:rsidRPr="002443A2">
        <w:t>TTIP also raises issues about how Norway and EFTA should engage in regulatory cooperation with countries beyond the EEA. We hardly have the po</w:t>
      </w:r>
      <w:r w:rsidR="0056758F">
        <w:t xml:space="preserve">wer to set the rules. Should </w:t>
      </w:r>
      <w:proofErr w:type="gramStart"/>
      <w:r w:rsidR="0056758F">
        <w:t xml:space="preserve">we </w:t>
      </w:r>
      <w:r w:rsidRPr="002443A2">
        <w:t>”</w:t>
      </w:r>
      <w:proofErr w:type="gramEnd"/>
      <w:r w:rsidRPr="002443A2">
        <w:t>piggyback” on the EU or is there a solution with plurilateral agr</w:t>
      </w:r>
      <w:r w:rsidR="0056758F">
        <w:t>eements where everyone is equal?</w:t>
      </w:r>
    </w:p>
    <w:p w:rsidR="00DC553C" w:rsidRPr="002443A2" w:rsidRDefault="00DC553C" w:rsidP="00DC553C">
      <w:pPr>
        <w:jc w:val="both"/>
      </w:pPr>
      <w:r w:rsidRPr="002443A2">
        <w:t>In the project, we examine all these issues with an inter-disciplinary team covering economics, political sc</w:t>
      </w:r>
      <w:r>
        <w:t>i</w:t>
      </w:r>
      <w:r w:rsidRPr="002443A2">
        <w:t>ence and law. We ex</w:t>
      </w:r>
      <w:r>
        <w:t>a</w:t>
      </w:r>
      <w:r w:rsidRPr="002443A2">
        <w:t xml:space="preserve">mine the economic effects, the </w:t>
      </w:r>
      <w:r w:rsidR="0056758F" w:rsidRPr="002443A2">
        <w:t>institutions and</w:t>
      </w:r>
      <w:r w:rsidRPr="002443A2">
        <w:t xml:space="preserve"> the political economy, and the legal dimensions. This report is partly based on the </w:t>
      </w:r>
      <w:r w:rsidR="00405353">
        <w:t>seven</w:t>
      </w:r>
      <w:r w:rsidR="00405353" w:rsidRPr="002443A2">
        <w:t xml:space="preserve"> </w:t>
      </w:r>
      <w:r w:rsidRPr="002443A2">
        <w:t>background studies published in parallel (see cover page</w:t>
      </w:r>
      <w:r w:rsidR="0056758F">
        <w:t xml:space="preserve"> 2</w:t>
      </w:r>
      <w:r w:rsidRPr="002443A2">
        <w:t>), and partly contains new material on issues that are not covered by the</w:t>
      </w:r>
      <w:r w:rsidR="00405353">
        <w:t>se</w:t>
      </w:r>
      <w:r w:rsidRPr="002443A2">
        <w:t xml:space="preserve"> background studies. Several paragraphs and chapters are based on inputs from authors other than the editor of this report, and their names are indicated in the </w:t>
      </w:r>
      <w:r w:rsidR="0056758F">
        <w:t>t</w:t>
      </w:r>
      <w:r w:rsidRPr="002443A2">
        <w:t>able of contents</w:t>
      </w:r>
      <w:r w:rsidR="0056758F">
        <w:t>, and in footnotes for sub-paragraphs.</w:t>
      </w:r>
    </w:p>
    <w:p w:rsidR="00DC553C" w:rsidRPr="002443A2" w:rsidRDefault="00DC553C" w:rsidP="00DC553C">
      <w:pPr>
        <w:pStyle w:val="Heading3"/>
      </w:pPr>
      <w:r w:rsidRPr="002443A2">
        <w:t>TTIP: Norway’s options</w:t>
      </w:r>
    </w:p>
    <w:p w:rsidR="00DC553C" w:rsidRPr="002443A2" w:rsidRDefault="00DC553C" w:rsidP="00DC553C">
      <w:pPr>
        <w:jc w:val="both"/>
      </w:pPr>
      <w:r w:rsidRPr="002443A2">
        <w:t>The ambition of TTIP is a comprehensive trade and investment partnership that does not only include traditional market access issues but where regulatory cooperation across the Atlantic is a main component. We do not yet know to what extent the parties will succeed in this endeavour, but we use other recent trade agreements such as TPP and CETA as yardsticks and combined with available information on TTIP we see the contours of TTIP. According to this, there will be limited harmonization of standards and regulations in TTIP</w:t>
      </w:r>
      <w:r w:rsidR="0056758F">
        <w:t xml:space="preserve"> in the short run</w:t>
      </w:r>
      <w:r w:rsidRPr="002443A2">
        <w:t>, but less demanding forms of cooperation such as exchange of information and mutual recognition agreements (MRAs) on product testing and approval methods. This will be combined with institutions to promote regulatory convergence in the future, including more harmonization</w:t>
      </w:r>
      <w:r w:rsidR="00EE4F52">
        <w:t xml:space="preserve"> of standards</w:t>
      </w:r>
      <w:r w:rsidRPr="002443A2">
        <w:t>.</w:t>
      </w:r>
    </w:p>
    <w:p w:rsidR="00DC553C" w:rsidRPr="002443A2" w:rsidRDefault="00DC553C" w:rsidP="00DC553C">
      <w:pPr>
        <w:jc w:val="both"/>
      </w:pPr>
      <w:r w:rsidRPr="002443A2">
        <w:lastRenderedPageBreak/>
        <w:t>The EU has suggested that it will be an open agreement where third countries may accede, provided that they live up to the standards. The modalities of accession are however not known but we examine this in the light of other agreements and relevant information (Chapter 3). If TTIP succeeds, Norway or EFTA face</w:t>
      </w:r>
      <w:r>
        <w:t>s</w:t>
      </w:r>
      <w:r w:rsidRPr="002443A2">
        <w:t xml:space="preserve"> the options shown in Table S.1.</w:t>
      </w:r>
    </w:p>
    <w:p w:rsidR="00DC553C" w:rsidRPr="002443A2" w:rsidRDefault="00DC553C" w:rsidP="00DC553C">
      <w:pPr>
        <w:jc w:val="both"/>
      </w:pPr>
      <w:r w:rsidRPr="002443A2">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tblPr>
      <w:tblGrid>
        <w:gridCol w:w="1643"/>
        <w:gridCol w:w="1644"/>
        <w:gridCol w:w="1644"/>
        <w:gridCol w:w="1644"/>
        <w:gridCol w:w="1644"/>
      </w:tblGrid>
      <w:tr w:rsidR="00DC553C" w:rsidRPr="002443A2" w:rsidTr="00DC553C">
        <w:tc>
          <w:tcPr>
            <w:tcW w:w="8219" w:type="dxa"/>
            <w:gridSpan w:val="5"/>
          </w:tcPr>
          <w:p w:rsidR="00DC553C" w:rsidRPr="002443A2" w:rsidRDefault="00DC553C" w:rsidP="00DC553C">
            <w:pPr>
              <w:rPr>
                <w:b/>
              </w:rPr>
            </w:pPr>
            <w:r w:rsidRPr="002443A2">
              <w:rPr>
                <w:b/>
              </w:rPr>
              <w:lastRenderedPageBreak/>
              <w:t>Table S.1: Norway’s options if TTIP has been established</w:t>
            </w:r>
          </w:p>
        </w:tc>
      </w:tr>
      <w:tr w:rsidR="00DC553C" w:rsidRPr="002443A2" w:rsidTr="00DC553C">
        <w:tc>
          <w:tcPr>
            <w:tcW w:w="1643" w:type="dxa"/>
          </w:tcPr>
          <w:p w:rsidR="00DC553C" w:rsidRPr="002443A2" w:rsidRDefault="00DC553C" w:rsidP="00DC553C"/>
        </w:tc>
        <w:tc>
          <w:tcPr>
            <w:tcW w:w="1644" w:type="dxa"/>
          </w:tcPr>
          <w:p w:rsidR="00DC553C" w:rsidRPr="002443A2" w:rsidRDefault="00DC553C" w:rsidP="008E2882">
            <w:r w:rsidRPr="002443A2">
              <w:t xml:space="preserve">TTIP </w:t>
            </w:r>
            <w:r w:rsidR="008E2882">
              <w:t>with Norway outside</w:t>
            </w:r>
          </w:p>
        </w:tc>
        <w:tc>
          <w:tcPr>
            <w:tcW w:w="1644" w:type="dxa"/>
          </w:tcPr>
          <w:p w:rsidR="00DC553C" w:rsidRPr="002443A2" w:rsidRDefault="00DC553C" w:rsidP="00DC553C">
            <w:r w:rsidRPr="002443A2">
              <w:t>TTIP accession – the TPP model</w:t>
            </w:r>
          </w:p>
        </w:tc>
        <w:tc>
          <w:tcPr>
            <w:tcW w:w="1644" w:type="dxa"/>
          </w:tcPr>
          <w:p w:rsidR="00DC553C" w:rsidRPr="002443A2" w:rsidRDefault="00DC553C" w:rsidP="00DC553C">
            <w:r w:rsidRPr="002443A2">
              <w:t>TTIP accession – the Open Skies model</w:t>
            </w:r>
          </w:p>
        </w:tc>
        <w:tc>
          <w:tcPr>
            <w:tcW w:w="1644" w:type="dxa"/>
          </w:tcPr>
          <w:p w:rsidR="00DC553C" w:rsidRPr="002443A2" w:rsidRDefault="00DC553C" w:rsidP="00DC553C">
            <w:r w:rsidRPr="002443A2">
              <w:t>EFTA agreement with the USA</w:t>
            </w:r>
          </w:p>
        </w:tc>
      </w:tr>
      <w:tr w:rsidR="00DC553C" w:rsidRPr="002443A2" w:rsidTr="00DC553C">
        <w:tc>
          <w:tcPr>
            <w:tcW w:w="1643" w:type="dxa"/>
          </w:tcPr>
          <w:p w:rsidR="00DC553C" w:rsidRPr="002443A2" w:rsidRDefault="00DC553C" w:rsidP="00DC553C">
            <w:r w:rsidRPr="002443A2">
              <w:t>Negotiations with the EU</w:t>
            </w:r>
          </w:p>
        </w:tc>
        <w:tc>
          <w:tcPr>
            <w:tcW w:w="1644" w:type="dxa"/>
          </w:tcPr>
          <w:p w:rsidR="00DC553C" w:rsidRPr="002443A2" w:rsidRDefault="00DC553C" w:rsidP="00DC553C">
            <w:r w:rsidRPr="002443A2">
              <w:t>No</w:t>
            </w:r>
          </w:p>
        </w:tc>
        <w:tc>
          <w:tcPr>
            <w:tcW w:w="1644" w:type="dxa"/>
          </w:tcPr>
          <w:p w:rsidR="00DC553C" w:rsidRPr="002443A2" w:rsidRDefault="00DC553C" w:rsidP="00DC553C">
            <w:r w:rsidRPr="002443A2">
              <w:t>Yes, on aspects where TTIP supersedes the EEA</w:t>
            </w:r>
          </w:p>
        </w:tc>
        <w:tc>
          <w:tcPr>
            <w:tcW w:w="1644" w:type="dxa"/>
          </w:tcPr>
          <w:p w:rsidR="00DC553C" w:rsidRPr="002443A2" w:rsidRDefault="00DC553C" w:rsidP="00DC553C">
            <w:r w:rsidRPr="002443A2">
              <w:t>Yes, on aspects where TTIP supersedes the EEA</w:t>
            </w:r>
          </w:p>
        </w:tc>
        <w:tc>
          <w:tcPr>
            <w:tcW w:w="1644" w:type="dxa"/>
          </w:tcPr>
          <w:p w:rsidR="00DC553C" w:rsidRPr="002443A2" w:rsidRDefault="00DC553C" w:rsidP="00DC553C">
            <w:r w:rsidRPr="002443A2">
              <w:t>No</w:t>
            </w:r>
          </w:p>
        </w:tc>
      </w:tr>
      <w:tr w:rsidR="00DC553C" w:rsidRPr="002443A2" w:rsidTr="00DC553C">
        <w:tc>
          <w:tcPr>
            <w:tcW w:w="1643" w:type="dxa"/>
          </w:tcPr>
          <w:p w:rsidR="00DC553C" w:rsidRPr="002443A2" w:rsidRDefault="00DC553C" w:rsidP="00DC553C">
            <w:r w:rsidRPr="002443A2">
              <w:t>Negotiations with the USA</w:t>
            </w:r>
          </w:p>
        </w:tc>
        <w:tc>
          <w:tcPr>
            <w:tcW w:w="1644" w:type="dxa"/>
          </w:tcPr>
          <w:p w:rsidR="00DC553C" w:rsidRPr="002443A2" w:rsidRDefault="00DC553C" w:rsidP="00DC553C">
            <w:r w:rsidRPr="002443A2">
              <w:t>No</w:t>
            </w:r>
          </w:p>
        </w:tc>
        <w:tc>
          <w:tcPr>
            <w:tcW w:w="1644" w:type="dxa"/>
          </w:tcPr>
          <w:p w:rsidR="00DC553C" w:rsidRPr="002443A2" w:rsidRDefault="00DC553C" w:rsidP="00DC553C">
            <w:r w:rsidRPr="002443A2">
              <w:t>Yes, all aspects</w:t>
            </w:r>
          </w:p>
        </w:tc>
        <w:tc>
          <w:tcPr>
            <w:tcW w:w="1644" w:type="dxa"/>
          </w:tcPr>
          <w:p w:rsidR="00DC553C" w:rsidRPr="002443A2" w:rsidRDefault="00DC553C" w:rsidP="00DC553C">
            <w:r w:rsidRPr="002443A2">
              <w:t>Yes, all aspects</w:t>
            </w:r>
          </w:p>
        </w:tc>
        <w:tc>
          <w:tcPr>
            <w:tcW w:w="1644" w:type="dxa"/>
          </w:tcPr>
          <w:p w:rsidR="00DC553C" w:rsidRPr="002443A2" w:rsidRDefault="00DC553C" w:rsidP="00DC553C">
            <w:r w:rsidRPr="002443A2">
              <w:t>Yes</w:t>
            </w:r>
          </w:p>
        </w:tc>
      </w:tr>
      <w:tr w:rsidR="00DC553C" w:rsidRPr="002443A2" w:rsidTr="00DC553C">
        <w:tc>
          <w:tcPr>
            <w:tcW w:w="1643" w:type="dxa"/>
          </w:tcPr>
          <w:p w:rsidR="00DC553C" w:rsidRPr="002443A2" w:rsidRDefault="00DC553C" w:rsidP="00DC553C">
            <w:r w:rsidRPr="002443A2">
              <w:t>Impact on the EEA</w:t>
            </w:r>
          </w:p>
        </w:tc>
        <w:tc>
          <w:tcPr>
            <w:tcW w:w="1644" w:type="dxa"/>
          </w:tcPr>
          <w:p w:rsidR="00DC553C" w:rsidRPr="002443A2" w:rsidRDefault="00DC553C" w:rsidP="00DC553C">
            <w:r w:rsidRPr="002443A2">
              <w:t>Conformity assessment, some standards</w:t>
            </w:r>
          </w:p>
        </w:tc>
        <w:tc>
          <w:tcPr>
            <w:tcW w:w="1644" w:type="dxa"/>
          </w:tcPr>
          <w:p w:rsidR="00DC553C" w:rsidRPr="002443A2" w:rsidRDefault="00DC553C" w:rsidP="00DC553C">
            <w:r w:rsidRPr="002443A2">
              <w:t>Especially food sectors</w:t>
            </w:r>
          </w:p>
        </w:tc>
        <w:tc>
          <w:tcPr>
            <w:tcW w:w="1644" w:type="dxa"/>
          </w:tcPr>
          <w:p w:rsidR="00DC553C" w:rsidRPr="002443A2" w:rsidRDefault="00DC553C" w:rsidP="00DC553C">
            <w:r w:rsidRPr="002443A2">
              <w:t>Food sectors and new trade policy approach</w:t>
            </w:r>
          </w:p>
        </w:tc>
        <w:tc>
          <w:tcPr>
            <w:tcW w:w="1644" w:type="dxa"/>
          </w:tcPr>
          <w:p w:rsidR="00DC553C" w:rsidRPr="002443A2" w:rsidRDefault="00DC553C" w:rsidP="00DC553C">
            <w:r w:rsidRPr="002443A2">
              <w:t>Domino effect in agriculture</w:t>
            </w:r>
          </w:p>
        </w:tc>
      </w:tr>
      <w:tr w:rsidR="00DC553C" w:rsidRPr="002443A2" w:rsidTr="00DC553C">
        <w:tc>
          <w:tcPr>
            <w:tcW w:w="1643" w:type="dxa"/>
          </w:tcPr>
          <w:p w:rsidR="00DC553C" w:rsidRPr="002443A2" w:rsidRDefault="00DC553C" w:rsidP="00DC553C">
            <w:r w:rsidRPr="002443A2">
              <w:t>Depth of agreement</w:t>
            </w:r>
          </w:p>
        </w:tc>
        <w:tc>
          <w:tcPr>
            <w:tcW w:w="1644" w:type="dxa"/>
          </w:tcPr>
          <w:p w:rsidR="00DC553C" w:rsidRPr="002443A2" w:rsidRDefault="00DC553C" w:rsidP="00DC553C">
            <w:r w:rsidRPr="002443A2">
              <w:t>Norway not in</w:t>
            </w:r>
          </w:p>
        </w:tc>
        <w:tc>
          <w:tcPr>
            <w:tcW w:w="1644" w:type="dxa"/>
          </w:tcPr>
          <w:p w:rsidR="00DC553C" w:rsidRPr="002443A2" w:rsidRDefault="00DC553C" w:rsidP="00DC553C">
            <w:r w:rsidRPr="002443A2">
              <w:t>Deep</w:t>
            </w:r>
          </w:p>
        </w:tc>
        <w:tc>
          <w:tcPr>
            <w:tcW w:w="1644" w:type="dxa"/>
          </w:tcPr>
          <w:p w:rsidR="00DC553C" w:rsidRPr="002443A2" w:rsidRDefault="00DC553C" w:rsidP="00DC553C">
            <w:r w:rsidRPr="002443A2">
              <w:t>Deeper</w:t>
            </w:r>
          </w:p>
        </w:tc>
        <w:tc>
          <w:tcPr>
            <w:tcW w:w="1644" w:type="dxa"/>
          </w:tcPr>
          <w:p w:rsidR="00DC553C" w:rsidRPr="002443A2" w:rsidRDefault="00DC553C" w:rsidP="00DC553C">
            <w:r w:rsidRPr="002443A2">
              <w:t>Intermediate</w:t>
            </w:r>
          </w:p>
        </w:tc>
      </w:tr>
      <w:tr w:rsidR="00DC553C" w:rsidRPr="002443A2" w:rsidTr="00DC553C">
        <w:tc>
          <w:tcPr>
            <w:tcW w:w="1643" w:type="dxa"/>
          </w:tcPr>
          <w:p w:rsidR="00DC553C" w:rsidRPr="002443A2" w:rsidRDefault="00DC553C" w:rsidP="00DC553C">
            <w:r w:rsidRPr="002443A2">
              <w:t>Constitutional issues</w:t>
            </w:r>
          </w:p>
        </w:tc>
        <w:tc>
          <w:tcPr>
            <w:tcW w:w="1644" w:type="dxa"/>
          </w:tcPr>
          <w:p w:rsidR="00DC553C" w:rsidRPr="002443A2" w:rsidRDefault="00DC553C" w:rsidP="00DC553C">
            <w:r w:rsidRPr="002443A2">
              <w:t>Limited</w:t>
            </w:r>
          </w:p>
        </w:tc>
        <w:tc>
          <w:tcPr>
            <w:tcW w:w="1644" w:type="dxa"/>
          </w:tcPr>
          <w:p w:rsidR="00DC553C" w:rsidRPr="002443A2" w:rsidRDefault="00DC553C" w:rsidP="00DC553C">
            <w:r w:rsidRPr="002443A2">
              <w:t>Limited</w:t>
            </w:r>
          </w:p>
        </w:tc>
        <w:tc>
          <w:tcPr>
            <w:tcW w:w="1644" w:type="dxa"/>
          </w:tcPr>
          <w:p w:rsidR="00DC553C" w:rsidRPr="002443A2" w:rsidRDefault="00DC553C" w:rsidP="00DC553C">
            <w:r w:rsidRPr="002443A2">
              <w:t>Ceding more authority to the EU</w:t>
            </w:r>
          </w:p>
        </w:tc>
        <w:tc>
          <w:tcPr>
            <w:tcW w:w="1644" w:type="dxa"/>
          </w:tcPr>
          <w:p w:rsidR="00DC553C" w:rsidRPr="002443A2" w:rsidRDefault="00DC553C" w:rsidP="00DC553C">
            <w:r w:rsidRPr="002443A2">
              <w:t>Limited</w:t>
            </w:r>
          </w:p>
        </w:tc>
      </w:tr>
    </w:tbl>
    <w:p w:rsidR="00DC553C" w:rsidRPr="002443A2" w:rsidRDefault="00DC553C" w:rsidP="00DC553C"/>
    <w:p w:rsidR="00DC553C" w:rsidRPr="002443A2" w:rsidRDefault="00DC553C" w:rsidP="00DC553C">
      <w:pPr>
        <w:jc w:val="both"/>
      </w:pPr>
      <w:r w:rsidRPr="002443A2">
        <w:t>If Norway chooses to remain outside TTIP, there will be a limited impact</w:t>
      </w:r>
      <w:r w:rsidR="004757D1">
        <w:t xml:space="preserve"> on instoitutions</w:t>
      </w:r>
      <w:r w:rsidRPr="002443A2">
        <w:t>. Some TTIP standards may enter the EEA as new legislation, but with limited harmoniz</w:t>
      </w:r>
      <w:r>
        <w:t>at</w:t>
      </w:r>
      <w:r w:rsidRPr="002443A2">
        <w:t>ion this will be limited. If there is more regulatory convergence in TTIP over time, this will be a more important issue.</w:t>
      </w:r>
      <w:r w:rsidR="00482321" w:rsidRPr="00482321">
        <w:t xml:space="preserve"> </w:t>
      </w:r>
      <w:r w:rsidR="00482321">
        <w:t xml:space="preserve">Due to provisions in the EEA agreement, </w:t>
      </w:r>
      <w:r w:rsidR="004757D1">
        <w:t>Norway/</w:t>
      </w:r>
      <w:r w:rsidR="00482321">
        <w:t xml:space="preserve">EFTA will </w:t>
      </w:r>
      <w:r w:rsidR="00512C99">
        <w:t xml:space="preserve">also </w:t>
      </w:r>
      <w:r w:rsidR="00482321">
        <w:t>be affected by US-EU agreements on conformity assessment (</w:t>
      </w:r>
      <w:r w:rsidR="008E2882">
        <w:t xml:space="preserve">on </w:t>
      </w:r>
      <w:r w:rsidR="00482321">
        <w:t xml:space="preserve">product testing </w:t>
      </w:r>
      <w:r w:rsidR="008E2882">
        <w:t>and the like</w:t>
      </w:r>
      <w:r w:rsidR="00482321">
        <w:t>, see chapters 3 and 7).</w:t>
      </w:r>
    </w:p>
    <w:p w:rsidR="00DC553C" w:rsidRPr="002443A2" w:rsidRDefault="00DC553C" w:rsidP="00DC553C">
      <w:pPr>
        <w:jc w:val="both"/>
      </w:pPr>
      <w:r w:rsidRPr="002443A2">
        <w:t xml:space="preserve">Accession to TTIP may happen in two ways; either as a standard inter-governmental trade agreement such as EFTA’s recent agreements. </w:t>
      </w:r>
      <w:r w:rsidR="00482321">
        <w:t>TPP is also an intergovernmental agreement where all participants have an equal seat at the table.</w:t>
      </w:r>
      <w:r w:rsidR="00482321">
        <w:rPr>
          <w:rStyle w:val="FootnoteReference"/>
        </w:rPr>
        <w:footnoteReference w:id="1"/>
      </w:r>
      <w:r w:rsidR="00482321">
        <w:t xml:space="preserve"> </w:t>
      </w:r>
      <w:r w:rsidRPr="002443A2">
        <w:t>Alternatively, TTIP accession could be made according to the ”Open Skies” model where the EU and the USA entered into an agreement first, and then Norway and Iceland joined later and are to be treated “as though they were Member States” of the EU</w:t>
      </w:r>
      <w:r w:rsidR="0056758F">
        <w:t>. The</w:t>
      </w:r>
      <w:r w:rsidRPr="002443A2">
        <w:t xml:space="preserve"> EU should</w:t>
      </w:r>
      <w:r w:rsidR="008B4975">
        <w:t xml:space="preserve"> according to the agreement</w:t>
      </w:r>
      <w:r w:rsidRPr="002443A2">
        <w:t xml:space="preserve"> “take adequate measures to ensure full participation of Iceland and Norway in any coordination, consultation or decision shaping meetings with the Member States”.  Hence the Open Skies model is a two-pillar construction were Norway </w:t>
      </w:r>
      <w:r w:rsidR="008B4975">
        <w:t>is</w:t>
      </w:r>
      <w:r w:rsidRPr="002443A2">
        <w:t xml:space="preserve"> part of the European pillar, and cede to the EU the authority to make trade arrangements with third countries. With the intergovernmental set-up, EFTA would have an equal seat at the table along with the EU and the USA. This model is more likely for a trade agreement with limited ambition on regulatory cooperation. For a deeper and more dynamic agreement, it is less likely that the TTIPs would accept EFTA or Norway as an equal among three. Based on past experience, Switzerland would go for the inter-governmental set-up and hardly accept the Open Skies solution (unless they change practices). In terms of institutions and legal aspects, the intergovernmental agreement approach raises no difficult issues but the Open Skies approach could add another element to the well-known </w:t>
      </w:r>
      <w:r w:rsidRPr="002443A2">
        <w:lastRenderedPageBreak/>
        <w:t>dilemma of autonomy and influence in the EEA.</w:t>
      </w:r>
      <w:r w:rsidR="008E2882">
        <w:t xml:space="preserve"> With the Open Skies solution, Norway would be more integrated with the EU also in relations to third countries.</w:t>
      </w:r>
    </w:p>
    <w:p w:rsidR="00DC553C" w:rsidRPr="002443A2" w:rsidRDefault="00DC553C" w:rsidP="00DC553C">
      <w:pPr>
        <w:jc w:val="both"/>
      </w:pPr>
      <w:r w:rsidRPr="002443A2">
        <w:t xml:space="preserve">With TTIP accession, Norway/EFTA would have to accept some established rules, </w:t>
      </w:r>
      <w:r w:rsidR="008B4975">
        <w:t>but</w:t>
      </w:r>
      <w:r w:rsidRPr="002443A2">
        <w:t xml:space="preserve"> there would be bilateral negotiations about market access and perhaps also some rules where national differentiation is possible. Negotiations would cover the whole range of market access issues with the USA, but with the EU negotiations would cover only aspects where the EEA is not deeper than TTIP. Hence the negotiations </w:t>
      </w:r>
      <w:r w:rsidR="0056758F">
        <w:t xml:space="preserve">with the EU </w:t>
      </w:r>
      <w:r w:rsidRPr="002443A2">
        <w:t xml:space="preserve">would surely include tariffs for agriculture and seafood. </w:t>
      </w:r>
    </w:p>
    <w:p w:rsidR="00DC553C" w:rsidRPr="002443A2" w:rsidRDefault="00DC553C" w:rsidP="00DC553C">
      <w:pPr>
        <w:jc w:val="both"/>
      </w:pPr>
      <w:r w:rsidRPr="002443A2">
        <w:t xml:space="preserve">Contrary to TTIP accession, an FTA between EFTA and the USA would not include negotiations with the EU but only with the USA. Another difference is that there would be no established set of rules that has to be accepted so negotiations start </w:t>
      </w:r>
      <w:proofErr w:type="gramStart"/>
      <w:r w:rsidRPr="002443A2">
        <w:t>more ”</w:t>
      </w:r>
      <w:proofErr w:type="gramEnd"/>
      <w:r w:rsidRPr="002443A2">
        <w:t xml:space="preserve">from scratch”. Such an agreement would be purely intergovernmental and like a standard modern FTA, so there would be no </w:t>
      </w:r>
      <w:r w:rsidR="00482321">
        <w:t xml:space="preserve">institutional </w:t>
      </w:r>
      <w:r w:rsidRPr="002443A2">
        <w:t xml:space="preserve">problem for EFTA </w:t>
      </w:r>
      <w:r w:rsidR="0056758F">
        <w:t xml:space="preserve">including Switzerland </w:t>
      </w:r>
      <w:r w:rsidRPr="002443A2">
        <w:t xml:space="preserve">to accede. If TTIP succeed in depth and regulatory convergence, it would be difficult under this option to </w:t>
      </w:r>
      <w:proofErr w:type="gramStart"/>
      <w:r w:rsidRPr="002443A2">
        <w:t>maintain ”</w:t>
      </w:r>
      <w:proofErr w:type="gramEnd"/>
      <w:r w:rsidRPr="002443A2">
        <w:t xml:space="preserve">parallelism” with TTIP.  </w:t>
      </w:r>
    </w:p>
    <w:p w:rsidR="00DC553C" w:rsidRPr="002443A2" w:rsidRDefault="00DC553C" w:rsidP="00DC553C">
      <w:pPr>
        <w:pStyle w:val="Heading3"/>
        <w:jc w:val="both"/>
      </w:pPr>
      <w:r w:rsidRPr="002443A2">
        <w:t>TTIP and Norway: Results from a world economy model</w:t>
      </w:r>
    </w:p>
    <w:p w:rsidR="00DC553C" w:rsidRPr="002443A2" w:rsidRDefault="00DC553C" w:rsidP="00DC553C">
      <w:pPr>
        <w:jc w:val="both"/>
      </w:pPr>
      <w:r w:rsidRPr="002443A2">
        <w:t xml:space="preserve">In Chapter 4, we examine the economic impact for Norway of the different options, based on </w:t>
      </w:r>
      <w:r w:rsidRPr="00DC553C">
        <w:t xml:space="preserve">Felbermayr </w:t>
      </w:r>
      <w:proofErr w:type="gramStart"/>
      <w:r w:rsidRPr="00DC553C">
        <w:t>et</w:t>
      </w:r>
      <w:proofErr w:type="gramEnd"/>
      <w:r w:rsidRPr="00DC553C">
        <w:t xml:space="preserve">. </w:t>
      </w:r>
      <w:proofErr w:type="gramStart"/>
      <w:r w:rsidRPr="00DC553C">
        <w:t>al. (2016).</w:t>
      </w:r>
      <w:proofErr w:type="gramEnd"/>
      <w:r w:rsidRPr="002443A2">
        <w:t xml:space="preserve"> This is to our knowledge the first study that has been undertaken with a world economy model and focusing specifically on the trade policies of Norway. With 140 countries and 57 sectors, the model is suited to examine the impact for Norway and EFTA in a global landscape. The model is based on a modern approach where some estimates (</w:t>
      </w:r>
      <w:proofErr w:type="gramStart"/>
      <w:r w:rsidRPr="002443A2">
        <w:t>named ”</w:t>
      </w:r>
      <w:proofErr w:type="gramEnd"/>
      <w:r w:rsidRPr="002443A2">
        <w:t>top-down”) are based on empirical assessment of the impact of deep and shallow trade agreements in the past. In addition, we run ”bottom-up” scenarios where we make realistic assumptions about the reductions in tariffs and non-tarif</w:t>
      </w:r>
      <w:r>
        <w:t>f</w:t>
      </w:r>
      <w:r w:rsidRPr="002443A2">
        <w:t xml:space="preserve"> barriers in TTIP and related agreements, building on available information.</w:t>
      </w:r>
    </w:p>
    <w:p w:rsidR="00DC553C" w:rsidRPr="002443A2" w:rsidRDefault="00DC553C" w:rsidP="00DC553C">
      <w:pPr>
        <w:jc w:val="both"/>
      </w:pPr>
      <w:r w:rsidRPr="002443A2">
        <w:t>Using a global trade model of this kind, we may capture a range of economic effects:</w:t>
      </w:r>
    </w:p>
    <w:p w:rsidR="00DC553C" w:rsidRPr="002443A2" w:rsidRDefault="00DC553C" w:rsidP="00DC553C">
      <w:pPr>
        <w:pStyle w:val="ListParagraph"/>
        <w:numPr>
          <w:ilvl w:val="0"/>
          <w:numId w:val="38"/>
        </w:numPr>
        <w:jc w:val="both"/>
      </w:pPr>
      <w:r w:rsidRPr="002443A2">
        <w:t xml:space="preserve">We address the standard ”trade creation” and ”trade diversion” effects when trade barriers are </w:t>
      </w:r>
      <w:r w:rsidR="00EB659E">
        <w:t>reduced</w:t>
      </w:r>
      <w:r w:rsidRPr="002443A2">
        <w:t>, relative prices are altered and this affects trade flows and production. For example, if Norway remains outside TTIP our export industries face tougher competition from the USA in Europe, and from the EU in the USA</w:t>
      </w:r>
      <w:r w:rsidR="003A4466">
        <w:t xml:space="preserve"> (trade diversion)</w:t>
      </w:r>
      <w:r w:rsidRPr="002443A2">
        <w:t xml:space="preserve">. </w:t>
      </w:r>
    </w:p>
    <w:p w:rsidR="00DC553C" w:rsidRPr="002443A2" w:rsidRDefault="00DC553C" w:rsidP="00DC553C">
      <w:pPr>
        <w:pStyle w:val="ListParagraph"/>
        <w:numPr>
          <w:ilvl w:val="0"/>
          <w:numId w:val="38"/>
        </w:numPr>
        <w:jc w:val="both"/>
      </w:pPr>
      <w:r w:rsidRPr="002443A2">
        <w:t>Second, the model simulations capture overall demand effects</w:t>
      </w:r>
      <w:r w:rsidR="00EB659E">
        <w:t xml:space="preserve"> from TTIP</w:t>
      </w:r>
      <w:r w:rsidRPr="002443A2">
        <w:t>, that turn out to be very important. If TTIP stimulates growth in the EU and the USA, it has a positive effect even on Norway’s oil sector.</w:t>
      </w:r>
    </w:p>
    <w:p w:rsidR="00DC553C" w:rsidRPr="002443A2" w:rsidRDefault="00DC553C" w:rsidP="00DC553C">
      <w:pPr>
        <w:pStyle w:val="ListParagraph"/>
        <w:numPr>
          <w:ilvl w:val="0"/>
          <w:numId w:val="38"/>
        </w:numPr>
        <w:jc w:val="both"/>
      </w:pPr>
      <w:r w:rsidRPr="002443A2">
        <w:t xml:space="preserve">Third, the model captures the role of global value chains; e.g. </w:t>
      </w:r>
      <w:r w:rsidR="00040EE1">
        <w:t xml:space="preserve">if TTIP increases trade in cars </w:t>
      </w:r>
      <w:r w:rsidR="00040EE1" w:rsidRPr="002443A2">
        <w:t xml:space="preserve">between the EU and the USA, </w:t>
      </w:r>
      <w:r w:rsidR="00040EE1">
        <w:t>it may</w:t>
      </w:r>
      <w:r w:rsidR="00040EE1" w:rsidRPr="002443A2">
        <w:t xml:space="preserve"> affect Norway directly </w:t>
      </w:r>
      <w:r w:rsidR="00040EE1">
        <w:t xml:space="preserve">if the cars are carried by </w:t>
      </w:r>
      <w:r w:rsidRPr="002443A2">
        <w:t>Norwegian ships.</w:t>
      </w:r>
      <w:r w:rsidR="00453452">
        <w:t xml:space="preserve"> Such effects turn out to very important for the results – even the public sector gains from cheaper inputs.</w:t>
      </w:r>
      <w:r w:rsidR="00040EE1">
        <w:t xml:space="preserve"> The analysis of value chains also implies that we measure the impact of trade policy on value added, and not only on gross trade and production. </w:t>
      </w:r>
      <w:r w:rsidR="00E73011">
        <w:t xml:space="preserve">This is important because in many industries, inputs represent a high share of the gross value of production. </w:t>
      </w:r>
    </w:p>
    <w:p w:rsidR="00DC553C" w:rsidRPr="002443A2" w:rsidRDefault="00DC553C" w:rsidP="00DC553C">
      <w:pPr>
        <w:jc w:val="both"/>
      </w:pPr>
      <w:r w:rsidRPr="002443A2">
        <w:lastRenderedPageBreak/>
        <w:t>In some former studies of TTIP, the results for third countries were strongly affected by assumptions about so-called trade policy spillovers; i.e. that trade cost reductions within TTIP also applied in some way or other to third countries. This tended to make the outcome for third countries more positive. In the project, we include but tone down the role of such spillovers since their emp</w:t>
      </w:r>
      <w:r w:rsidR="00E627F2">
        <w:t>i</w:t>
      </w:r>
      <w:r w:rsidRPr="002443A2">
        <w:t xml:space="preserve">rical foundation is mixed (see Melchior 2016 for a discussion).  On the other hand, we </w:t>
      </w:r>
      <w:proofErr w:type="gramStart"/>
      <w:r w:rsidRPr="002443A2">
        <w:t>include ”</w:t>
      </w:r>
      <w:proofErr w:type="gramEnd"/>
      <w:r w:rsidRPr="002443A2">
        <w:t>domino” effects whereby neighbour countries such as Turkey and Mexico upgrade their trade agreements with the EU and the USA as a result of TTIP.</w:t>
      </w:r>
    </w:p>
    <w:p w:rsidR="00DC553C" w:rsidRPr="002443A2" w:rsidRDefault="00DC553C" w:rsidP="00DC553C">
      <w:pPr>
        <w:jc w:val="both"/>
      </w:pPr>
      <w:r w:rsidRPr="002443A2">
        <w:t xml:space="preserve">IFOs results show that if Norway remains outside TTIP, there is a slight positive impact on GDP. The positive income effect suggests that the positive demand effect from TTIP, and possibly value chain effects, dominate over trade diversion effects.  In this scenario, gross trade is in fact reduced (Norway becomes less open), </w:t>
      </w:r>
      <w:proofErr w:type="gramStart"/>
      <w:r w:rsidRPr="002443A2">
        <w:t>but</w:t>
      </w:r>
      <w:r w:rsidR="00E627F2">
        <w:t xml:space="preserve"> </w:t>
      </w:r>
      <w:r w:rsidRPr="002443A2">
        <w:t>”</w:t>
      </w:r>
      <w:proofErr w:type="gramEnd"/>
      <w:r w:rsidRPr="002443A2">
        <w:t>trade in value added” increases. Manufacturing sectors lose significantly from trade diversion, whereas the oil and gas sector gains considerably from higher demand and prices. Effects are small for agriculture, and there is a modest loss for seafood.</w:t>
      </w:r>
    </w:p>
    <w:p w:rsidR="00DC553C" w:rsidRPr="002443A2" w:rsidRDefault="00DC553C" w:rsidP="00DC553C">
      <w:pPr>
        <w:jc w:val="both"/>
      </w:pPr>
      <w:r w:rsidRPr="002443A2">
        <w:t>If Norway joins TTIP, there is a significant income gain per capita of 279</w:t>
      </w:r>
      <w:proofErr w:type="gramStart"/>
      <w:r w:rsidRPr="002443A2">
        <w:t>  USD</w:t>
      </w:r>
      <w:proofErr w:type="gramEnd"/>
      <w:r w:rsidRPr="002443A2">
        <w:t xml:space="preserve"> or 2253 NOK with 2015 exchange rates. Hence for each one of us, there is on average a significant economic gain, equivalent to 0.37% of income. Trade grows by 1.1%. If, instead of joining TTIP, we only enter into an agreement with the USA, trade growth is 0.4% and the per capita income gain smaller – 175 USD or 1413 NOK.  The more ”realistic” bottom-up estimates show conside</w:t>
      </w:r>
      <w:r>
        <w:t>r</w:t>
      </w:r>
      <w:r w:rsidRPr="002443A2">
        <w:t>ably larger  income gains from trade integration for Norway (0.65-1.09% of income, depending on scenarios)</w:t>
      </w:r>
      <w:r w:rsidR="00540077">
        <w:t>, with a maximum of 6771 NOK per capita in one of the scenarios</w:t>
      </w:r>
      <w:r w:rsidRPr="002443A2">
        <w:t>.</w:t>
      </w:r>
    </w:p>
    <w:p w:rsidR="00DC553C" w:rsidRPr="002443A2" w:rsidRDefault="00DC553C" w:rsidP="00DC553C">
      <w:pPr>
        <w:jc w:val="both"/>
      </w:pPr>
      <w:r w:rsidRPr="002443A2">
        <w:t xml:space="preserve">Considering the sector impact of TTIP accession; there would now be a significant loss for some manufacturing sectors and a range of agriculture sectors. </w:t>
      </w:r>
      <w:r w:rsidR="007A0725">
        <w:t xml:space="preserve">But a </w:t>
      </w:r>
      <w:r w:rsidR="00E92D00">
        <w:t xml:space="preserve">clear </w:t>
      </w:r>
      <w:r w:rsidR="007A0725">
        <w:t xml:space="preserve">majority of industries will gain from TTIP accession; </w:t>
      </w:r>
      <w:r w:rsidR="00E92D00">
        <w:t>contrary to staying outside where a clear majority of industries will lose</w:t>
      </w:r>
      <w:r w:rsidR="007A0725">
        <w:t xml:space="preserve">. </w:t>
      </w:r>
      <w:r w:rsidRPr="002443A2">
        <w:t xml:space="preserve">Seafood, other manufacturing sectors and some services </w:t>
      </w:r>
      <w:r w:rsidR="00E627F2">
        <w:t xml:space="preserve">sectors </w:t>
      </w:r>
      <w:r w:rsidRPr="002443A2">
        <w:t>would gain</w:t>
      </w:r>
      <w:r w:rsidR="003645F9">
        <w:t xml:space="preserve"> from TTIP accession</w:t>
      </w:r>
      <w:r w:rsidRPr="002443A2">
        <w:t xml:space="preserve">, with </w:t>
      </w:r>
      <w:r w:rsidR="00E627F2">
        <w:t>“</w:t>
      </w:r>
      <w:r w:rsidRPr="002443A2">
        <w:t>other business services</w:t>
      </w:r>
      <w:r w:rsidR="00E627F2">
        <w:t>”</w:t>
      </w:r>
      <w:r w:rsidRPr="002443A2">
        <w:t xml:space="preserve"> as the sector with the largest gain.  </w:t>
      </w:r>
      <w:r w:rsidR="00E627F2">
        <w:t>“</w:t>
      </w:r>
      <w:r w:rsidRPr="002443A2">
        <w:t>Other business services</w:t>
      </w:r>
      <w:r w:rsidR="00E627F2">
        <w:t>”</w:t>
      </w:r>
      <w:r w:rsidRPr="002443A2">
        <w:t xml:space="preserve"> </w:t>
      </w:r>
      <w:r w:rsidR="00E627F2">
        <w:t>are</w:t>
      </w:r>
      <w:r w:rsidRPr="002443A2">
        <w:t xml:space="preserve"> important for Norway and if TTIP reduces the barriers they face, production </w:t>
      </w:r>
      <w:r w:rsidR="00E92D00">
        <w:t xml:space="preserve">and trade </w:t>
      </w:r>
      <w:r w:rsidRPr="002443A2">
        <w:t>will increase. Sector effects are created in a complex interaction between all the three types of effects mentioned, and the reader is referred to the background paper for more detail.</w:t>
      </w:r>
      <w:r w:rsidR="00540077">
        <w:t xml:space="preserve"> Due to the value chain effects, there is a considerable gain for public sector services in several scenarios.</w:t>
      </w:r>
    </w:p>
    <w:p w:rsidR="00DC553C" w:rsidRPr="002443A2" w:rsidRDefault="00DC553C" w:rsidP="00DC553C">
      <w:pPr>
        <w:jc w:val="both"/>
      </w:pPr>
      <w:r w:rsidRPr="002443A2">
        <w:t>The IFO estimates shed new light on Norway’s trade policy and as said, they are to our knowledge the first of its kind, using an advanced model for the world economy</w:t>
      </w:r>
      <w:r w:rsidR="00E627F2">
        <w:t xml:space="preserve"> capturing value chains on top of standard trade effects</w:t>
      </w:r>
      <w:r w:rsidRPr="002443A2">
        <w:t xml:space="preserve">. But the IFO model </w:t>
      </w:r>
      <w:r w:rsidR="00E627F2">
        <w:t>does not address all issues</w:t>
      </w:r>
      <w:r w:rsidRPr="002443A2">
        <w:t xml:space="preserve">, and in </w:t>
      </w:r>
      <w:r w:rsidR="00540077">
        <w:t>other</w:t>
      </w:r>
      <w:r w:rsidRPr="002443A2">
        <w:t xml:space="preserve"> chapters, some aspects </w:t>
      </w:r>
      <w:r w:rsidR="00540077">
        <w:t xml:space="preserve">not covered by the IFO study </w:t>
      </w:r>
      <w:r w:rsidRPr="002443A2">
        <w:t>are addressed.</w:t>
      </w:r>
    </w:p>
    <w:p w:rsidR="00DC553C" w:rsidRPr="002443A2" w:rsidRDefault="00DC553C" w:rsidP="00DC553C">
      <w:pPr>
        <w:pStyle w:val="Heading3"/>
      </w:pPr>
      <w:r w:rsidRPr="002443A2">
        <w:t>TTIP and investment</w:t>
      </w:r>
    </w:p>
    <w:p w:rsidR="00DC553C" w:rsidRPr="002443A2" w:rsidRDefault="00540077" w:rsidP="00DC553C">
      <w:pPr>
        <w:jc w:val="both"/>
      </w:pPr>
      <w:r>
        <w:t>T</w:t>
      </w:r>
      <w:r w:rsidR="00DC553C" w:rsidRPr="002443A2">
        <w:t>he IFO model is trade-driven in the sense that parameters are estimated from cross-border trade flows and the results driven by changes in barriers to cross-border trade</w:t>
      </w:r>
      <w:r w:rsidR="006234D9">
        <w:t xml:space="preserve"> in goods and services</w:t>
      </w:r>
      <w:r w:rsidR="00DC553C" w:rsidRPr="002443A2">
        <w:t xml:space="preserve">. But TTIP is a trade and investment partnership so investment plays a </w:t>
      </w:r>
      <w:r w:rsidR="00DC553C" w:rsidRPr="002443A2">
        <w:lastRenderedPageBreak/>
        <w:t xml:space="preserve">major role. Chapter 5 therefore examines investment issues. In the Transatlantic economy </w:t>
      </w:r>
      <w:r w:rsidR="00E627F2" w:rsidRPr="002443A2">
        <w:t>including Norway</w:t>
      </w:r>
      <w:r w:rsidR="00DC553C" w:rsidRPr="002443A2">
        <w:t xml:space="preserve"> it is generally the case that sales from affiliates </w:t>
      </w:r>
      <w:r w:rsidR="00E627F2">
        <w:t>are</w:t>
      </w:r>
      <w:r w:rsidR="00DC553C" w:rsidRPr="002443A2">
        <w:t xml:space="preserve"> much larger than trade across borders. Trade and investment also interact in various ways, so changes in barriers to cross-border trade could have unexpected effects. Furthermore, barriers to investment itself become an important part of trade policy.</w:t>
      </w:r>
    </w:p>
    <w:p w:rsidR="00DC553C" w:rsidRPr="002443A2" w:rsidRDefault="00DC553C" w:rsidP="00DC553C">
      <w:pPr>
        <w:jc w:val="both"/>
      </w:pPr>
      <w:r w:rsidRPr="002443A2">
        <w:t xml:space="preserve">In Chapter 5, we present new evidence based on firm-level data for Norway, drawing on Gaasland, Straume &amp; Vårdal (2016). </w:t>
      </w:r>
      <w:r w:rsidR="00DA7E51">
        <w:t>It is shown</w:t>
      </w:r>
      <w:r w:rsidRPr="002443A2">
        <w:t xml:space="preserve"> that 37% of the value of Norway’s exports is conducted by foreign-owned firms, and 46% of imports. In trade with the USA, 46% of exports and 9% of imports are undertaken by U.S.-owned firms. For mineral products including oil and gas, 76% of exports </w:t>
      </w:r>
      <w:r w:rsidR="00E627F2">
        <w:t>are</w:t>
      </w:r>
      <w:r w:rsidRPr="002443A2">
        <w:t xml:space="preserve"> undertaken by U.S.-owned firms.</w:t>
      </w:r>
    </w:p>
    <w:p w:rsidR="00DC553C" w:rsidRPr="002443A2" w:rsidRDefault="00DC553C" w:rsidP="00DC553C">
      <w:pPr>
        <w:jc w:val="both"/>
      </w:pPr>
      <w:r w:rsidRPr="002443A2">
        <w:t>Assuming that U.S.-owned firms may be more familiar with U.S. procedures and regulations, the high share of f</w:t>
      </w:r>
      <w:r>
        <w:t>o</w:t>
      </w:r>
      <w:r w:rsidRPr="002443A2">
        <w:t xml:space="preserve">reign-owned firms for export could in a sense reduce trade barriers. On the other hand, foreign-owned traders are larger, so in the large mass of smaller exporters or importers there are more Norwegian-owned firms. This suggests that there is a double motivation for focusing on small and medium-sized enterprises </w:t>
      </w:r>
      <w:r w:rsidR="00E627F2">
        <w:t xml:space="preserve">(SMEs) </w:t>
      </w:r>
      <w:r w:rsidRPr="002443A2">
        <w:t>in trade policy. This is actually also an objective in TTIP</w:t>
      </w:r>
      <w:r w:rsidR="00E627F2">
        <w:t>; with trade facilitation and SMEs as part of the agenda</w:t>
      </w:r>
      <w:r w:rsidR="00540077">
        <w:t xml:space="preserve"> under the “rules” pillar of TTIP (see E</w:t>
      </w:r>
      <w:r w:rsidR="00DA7E51">
        <w:t>uropean</w:t>
      </w:r>
      <w:r w:rsidR="00540077">
        <w:t xml:space="preserve"> Commission 2016b)</w:t>
      </w:r>
      <w:r w:rsidRPr="002443A2">
        <w:t>.</w:t>
      </w:r>
    </w:p>
    <w:p w:rsidR="00DC553C" w:rsidRPr="002443A2" w:rsidRDefault="00DC553C" w:rsidP="00DC553C">
      <w:pPr>
        <w:jc w:val="both"/>
      </w:pPr>
      <w:r w:rsidRPr="002443A2">
        <w:t xml:space="preserve">In Chapter 5, we show that foreign investment has become increasingly important also for Norway, and also in its relation to the EU and the USA (although </w:t>
      </w:r>
      <w:r w:rsidR="003A4466">
        <w:t>FDI from</w:t>
      </w:r>
      <w:r w:rsidRPr="002443A2">
        <w:t xml:space="preserve"> the USA </w:t>
      </w:r>
      <w:r w:rsidR="003A4466">
        <w:t xml:space="preserve">to Norway </w:t>
      </w:r>
      <w:r w:rsidRPr="002443A2">
        <w:t>has declined). In 2014, Norwegian-owned firms had 164 tho</w:t>
      </w:r>
      <w:r>
        <w:t>u</w:t>
      </w:r>
      <w:r w:rsidRPr="002443A2">
        <w:t>sand empl</w:t>
      </w:r>
      <w:r>
        <w:t>o</w:t>
      </w:r>
      <w:r w:rsidRPr="002443A2">
        <w:t>yees in the EU, and 22 thousand in the USA.  Figures in the other direction were larger, with 237’ EU-owned jobs in Norway and 56’ owned by U.S. companies. Using the same methodologies as in CEPR (2013), we estimate that if investment barriers between Norway and the USA are reduced to the level applying within the EU, there would be an increase of 15’ in the number of USA-owned jobs in Norway, and 9 thousand more jobs in the USA owned by Norwegian companies.</w:t>
      </w:r>
    </w:p>
    <w:p w:rsidR="00DC553C" w:rsidRPr="002443A2" w:rsidRDefault="00DC553C" w:rsidP="00DC553C">
      <w:pPr>
        <w:pStyle w:val="Heading3"/>
      </w:pPr>
      <w:r w:rsidRPr="002443A2">
        <w:t>TTIP and agriculture</w:t>
      </w:r>
    </w:p>
    <w:p w:rsidR="00DC553C" w:rsidRPr="002443A2" w:rsidRDefault="00DC553C" w:rsidP="00DC553C">
      <w:pPr>
        <w:jc w:val="both"/>
      </w:pPr>
      <w:r w:rsidRPr="002443A2">
        <w:t xml:space="preserve">In the IFO simulations, domestic policies such as subsidies are not </w:t>
      </w:r>
      <w:r w:rsidR="00E627F2">
        <w:t xml:space="preserve">fully </w:t>
      </w:r>
      <w:r w:rsidRPr="002443A2">
        <w:t xml:space="preserve">accounted for, and this is particularly important in some areas. A notable case is agriculture and the food industry, where TTIP accession according to IFO will lead to a significant contraction for many product areas. </w:t>
      </w:r>
      <w:r w:rsidR="006234D9">
        <w:t>I prosjektet har</w:t>
      </w:r>
      <w:r w:rsidRPr="002443A2">
        <w:t xml:space="preserve"> NIBIO (Mittenzwei 2016 and Chapter 8.1 here) has analy</w:t>
      </w:r>
      <w:r>
        <w:t>s</w:t>
      </w:r>
      <w:r w:rsidRPr="002443A2">
        <w:t xml:space="preserve">ed agriculture using the JORDMOD model that is more </w:t>
      </w:r>
      <w:r w:rsidR="00B70020">
        <w:rPr>
          <w:lang w:val="en-US"/>
        </w:rPr>
        <w:t xml:space="preserve">detailed with regard to product coverage, technology choice, and agricultural policies. </w:t>
      </w:r>
    </w:p>
    <w:p w:rsidR="00DC553C" w:rsidRPr="002443A2" w:rsidRDefault="00DC553C" w:rsidP="00DC553C">
      <w:pPr>
        <w:jc w:val="both"/>
      </w:pPr>
      <w:r w:rsidRPr="002443A2">
        <w:t xml:space="preserve">In the analysis, the model is calibrated to reflect actual production in a base year and with a predicted baseline change until 2030. Trade barriers and other parameters are then changed to take TTIP into account, and the result is compared to the baseline outcome.  </w:t>
      </w:r>
      <w:r w:rsidR="00B70020">
        <w:t>T</w:t>
      </w:r>
      <w:r w:rsidRPr="002443A2">
        <w:t xml:space="preserve">he model </w:t>
      </w:r>
      <w:r w:rsidR="00B70020">
        <w:rPr>
          <w:lang w:val="en-US"/>
        </w:rPr>
        <w:t>considers only net trade with homogenous products on the world market</w:t>
      </w:r>
      <w:r w:rsidR="007867C6">
        <w:rPr>
          <w:lang w:val="en-US"/>
        </w:rPr>
        <w:t>; so w</w:t>
      </w:r>
      <w:r w:rsidR="007867C6">
        <w:t>e do not take into account that</w:t>
      </w:r>
      <w:r w:rsidR="007867C6" w:rsidRPr="002443A2">
        <w:t xml:space="preserve"> TTIP only applies to some countries and not all</w:t>
      </w:r>
      <w:r w:rsidR="007867C6">
        <w:t>.</w:t>
      </w:r>
      <w:r w:rsidR="007867C6">
        <w:rPr>
          <w:lang w:val="en-US"/>
        </w:rPr>
        <w:t xml:space="preserve"> </w:t>
      </w:r>
      <w:r w:rsidR="00B70020">
        <w:rPr>
          <w:lang w:val="en-US"/>
        </w:rPr>
        <w:t xml:space="preserve">Hence, there is no bilateral trade and products are identical with respect to origin and quality. </w:t>
      </w:r>
      <w:r w:rsidR="00B70020">
        <w:t>T</w:t>
      </w:r>
      <w:r w:rsidRPr="002443A2">
        <w:t xml:space="preserve">he impact of TTIP is reflected </w:t>
      </w:r>
      <w:r w:rsidR="00B70020">
        <w:t xml:space="preserve">in </w:t>
      </w:r>
      <w:r w:rsidR="00B70020" w:rsidRPr="00F73F0C">
        <w:rPr>
          <w:lang w:val="en-US"/>
        </w:rPr>
        <w:t>various assumptions about tariffs</w:t>
      </w:r>
      <w:r w:rsidR="00B70020">
        <w:rPr>
          <w:lang w:val="en-US"/>
        </w:rPr>
        <w:t xml:space="preserve">, import quotas and </w:t>
      </w:r>
      <w:r w:rsidRPr="002443A2">
        <w:lastRenderedPageBreak/>
        <w:t xml:space="preserve">world market prices. </w:t>
      </w:r>
      <w:r w:rsidR="00B70020">
        <w:t>T</w:t>
      </w:r>
      <w:r w:rsidRPr="002443A2">
        <w:t>he results are equally relev</w:t>
      </w:r>
      <w:r>
        <w:t>a</w:t>
      </w:r>
      <w:r w:rsidRPr="002443A2">
        <w:t xml:space="preserve">nt to all trade policy changes that affect tariffs or world </w:t>
      </w:r>
      <w:r w:rsidR="00B70020">
        <w:t xml:space="preserve">market </w:t>
      </w:r>
      <w:r w:rsidRPr="002443A2">
        <w:t>prices</w:t>
      </w:r>
      <w:r w:rsidR="00CD7200">
        <w:t>; not only TTIP</w:t>
      </w:r>
      <w:r w:rsidRPr="002443A2">
        <w:t>.</w:t>
      </w:r>
      <w:r w:rsidR="007867C6">
        <w:t xml:space="preserve"> We do not take into account </w:t>
      </w:r>
      <w:r w:rsidR="007867C6" w:rsidRPr="002443A2">
        <w:t>non-tariff barriers (e.g. on GMO</w:t>
      </w:r>
      <w:r w:rsidR="007867C6">
        <w:t xml:space="preserve"> or hormone-treated meat</w:t>
      </w:r>
      <w:r w:rsidR="007867C6" w:rsidRPr="002443A2">
        <w:t>) that limit trade.</w:t>
      </w:r>
    </w:p>
    <w:p w:rsidR="00DC553C" w:rsidRPr="002443A2" w:rsidRDefault="00DC553C" w:rsidP="00DC553C">
      <w:pPr>
        <w:jc w:val="both"/>
      </w:pPr>
      <w:r w:rsidRPr="002443A2">
        <w:t>The scenarios have two main dimen</w:t>
      </w:r>
      <w:r>
        <w:t>s</w:t>
      </w:r>
      <w:r w:rsidRPr="002443A2">
        <w:t>ions:</w:t>
      </w:r>
    </w:p>
    <w:p w:rsidR="00CD7200" w:rsidRDefault="00DC553C" w:rsidP="00CD7200">
      <w:pPr>
        <w:pStyle w:val="ListParagraph"/>
        <w:numPr>
          <w:ilvl w:val="0"/>
          <w:numId w:val="48"/>
        </w:numPr>
        <w:jc w:val="both"/>
      </w:pPr>
      <w:r w:rsidRPr="002443A2">
        <w:t xml:space="preserve">First, an assumption is made on </w:t>
      </w:r>
      <w:r w:rsidR="00B70020">
        <w:t xml:space="preserve">the number </w:t>
      </w:r>
      <w:r w:rsidRPr="002443A2">
        <w:t xml:space="preserve">of Norway’s tariff lines for trade in goods </w:t>
      </w:r>
      <w:r w:rsidR="007867C6">
        <w:t xml:space="preserve">that </w:t>
      </w:r>
      <w:r w:rsidRPr="002443A2">
        <w:t>may be exempted from tariff elimination</w:t>
      </w:r>
      <w:r w:rsidR="00C76F96">
        <w:t>, so-called “sensitive products”</w:t>
      </w:r>
      <w:r w:rsidRPr="002443A2">
        <w:t>. This is set at either 1 or 3%. In TTIP, 3% is alr</w:t>
      </w:r>
      <w:r>
        <w:t>e</w:t>
      </w:r>
      <w:r w:rsidRPr="002443A2">
        <w:t xml:space="preserve">ady on the table, but negotiations </w:t>
      </w:r>
      <w:r w:rsidR="00C76F96" w:rsidRPr="00CD7200">
        <w:rPr>
          <w:lang w:val="en-US"/>
        </w:rPr>
        <w:t xml:space="preserve">are not yet concluded so the share could get </w:t>
      </w:r>
      <w:proofErr w:type="gramStart"/>
      <w:r w:rsidR="00C76F96" w:rsidRPr="00CD7200">
        <w:rPr>
          <w:lang w:val="en-US"/>
        </w:rPr>
        <w:t>lower</w:t>
      </w:r>
      <w:r w:rsidRPr="002443A2">
        <w:t xml:space="preserve"> .</w:t>
      </w:r>
      <w:proofErr w:type="gramEnd"/>
      <w:r w:rsidRPr="002443A2">
        <w:t xml:space="preserve"> </w:t>
      </w:r>
    </w:p>
    <w:p w:rsidR="00CD7200" w:rsidRPr="00CD7200" w:rsidRDefault="00C76F96" w:rsidP="00CD7200">
      <w:pPr>
        <w:pStyle w:val="ListParagraph"/>
        <w:numPr>
          <w:ilvl w:val="0"/>
          <w:numId w:val="48"/>
        </w:numPr>
        <w:jc w:val="both"/>
        <w:rPr>
          <w:lang w:val="en-US"/>
        </w:rPr>
      </w:pPr>
      <w:r w:rsidRPr="00CD7200">
        <w:rPr>
          <w:lang w:val="en-US"/>
        </w:rPr>
        <w:t>Second, assumptions are made about tariff cuts and the introduction of import quotas for sensitive products</w:t>
      </w:r>
      <w:r w:rsidR="007867C6" w:rsidRPr="00CD7200">
        <w:rPr>
          <w:lang w:val="en-US"/>
        </w:rPr>
        <w:t xml:space="preserve"> </w:t>
      </w:r>
      <w:proofErr w:type="gramStart"/>
      <w:r w:rsidR="007867C6" w:rsidRPr="00CD7200">
        <w:rPr>
          <w:lang w:val="en-US"/>
        </w:rPr>
        <w:t>Here</w:t>
      </w:r>
      <w:proofErr w:type="gramEnd"/>
      <w:r w:rsidR="007867C6" w:rsidRPr="00CD7200">
        <w:rPr>
          <w:lang w:val="en-US"/>
        </w:rPr>
        <w:t xml:space="preserve"> we do not know the outcome of TTIP negotiations but we know from other agreements that such arrangements are likely</w:t>
      </w:r>
      <w:r w:rsidRPr="00CD7200">
        <w:rPr>
          <w:lang w:val="en-US"/>
        </w:rPr>
        <w:t xml:space="preserve">. We have therefore assumed different alternatives for tariff reduction (no reduction, 33 per cent cut, and 66 per cent cut) and assumed an import quota of 5 per cent of domestic consumption. </w:t>
      </w:r>
    </w:p>
    <w:p w:rsidR="00CD7200" w:rsidRPr="00CD7200" w:rsidRDefault="00C76F96" w:rsidP="00CD7200">
      <w:pPr>
        <w:pStyle w:val="ListParagraph"/>
        <w:numPr>
          <w:ilvl w:val="0"/>
          <w:numId w:val="48"/>
        </w:numPr>
        <w:jc w:val="both"/>
        <w:rPr>
          <w:lang w:val="en-US"/>
        </w:rPr>
      </w:pPr>
      <w:r w:rsidRPr="00CD7200">
        <w:rPr>
          <w:lang w:val="en-US"/>
        </w:rPr>
        <w:t xml:space="preserve">Third, </w:t>
      </w:r>
      <w:r w:rsidR="007867C6" w:rsidRPr="00CD7200">
        <w:rPr>
          <w:lang w:val="en-US"/>
        </w:rPr>
        <w:t xml:space="preserve">assumptions are made on </w:t>
      </w:r>
      <w:r w:rsidRPr="00CD7200">
        <w:rPr>
          <w:lang w:val="en-US"/>
        </w:rPr>
        <w:t xml:space="preserve">which products </w:t>
      </w:r>
      <w:r w:rsidR="007867C6" w:rsidRPr="00CD7200">
        <w:rPr>
          <w:lang w:val="en-US"/>
        </w:rPr>
        <w:t>are considered</w:t>
      </w:r>
      <w:r w:rsidRPr="00CD7200">
        <w:rPr>
          <w:lang w:val="en-US"/>
        </w:rPr>
        <w:t xml:space="preserve"> as sensitive </w:t>
      </w:r>
      <w:r w:rsidR="007867C6" w:rsidRPr="00CD7200">
        <w:rPr>
          <w:lang w:val="en-US"/>
        </w:rPr>
        <w:t xml:space="preserve">by Norway in </w:t>
      </w:r>
      <w:proofErr w:type="gramStart"/>
      <w:r w:rsidR="007867C6" w:rsidRPr="00CD7200">
        <w:rPr>
          <w:lang w:val="en-US"/>
        </w:rPr>
        <w:t xml:space="preserve">the </w:t>
      </w:r>
      <w:r w:rsidRPr="00CD7200">
        <w:rPr>
          <w:lang w:val="en-US"/>
        </w:rPr>
        <w:t xml:space="preserve"> the</w:t>
      </w:r>
      <w:proofErr w:type="gramEnd"/>
      <w:r w:rsidRPr="00CD7200">
        <w:rPr>
          <w:lang w:val="en-US"/>
        </w:rPr>
        <w:t xml:space="preserve"> negotiations. In the simulations, we have assumed that dairy and meat will be given priority. </w:t>
      </w:r>
    </w:p>
    <w:p w:rsidR="00DC553C" w:rsidRPr="002443A2" w:rsidRDefault="00C76F96" w:rsidP="00DC553C">
      <w:pPr>
        <w:jc w:val="both"/>
      </w:pPr>
      <w:r>
        <w:rPr>
          <w:lang w:val="en-US"/>
        </w:rPr>
        <w:t>Given the available</w:t>
      </w:r>
      <w:r w:rsidRPr="00F73F0C">
        <w:rPr>
          <w:lang w:val="en-US"/>
        </w:rPr>
        <w:t xml:space="preserve"> </w:t>
      </w:r>
      <w:r>
        <w:rPr>
          <w:lang w:val="en-US"/>
        </w:rPr>
        <w:t xml:space="preserve">information on TTIP, the scenarios are ment to span out a possible landing zone, but as often in trade negotiations, “the devil is in the details”. </w:t>
      </w:r>
      <w:r w:rsidRPr="008C4EB6">
        <w:rPr>
          <w:lang w:val="en-US"/>
        </w:rPr>
        <w:t>A</w:t>
      </w:r>
      <w:r>
        <w:rPr>
          <w:lang w:val="en-US"/>
        </w:rPr>
        <w:t xml:space="preserve"> conclusive impact analysis cannot be undertaken before the negotiations are concluded. </w:t>
      </w:r>
    </w:p>
    <w:p w:rsidR="00DC553C" w:rsidRPr="002443A2" w:rsidRDefault="00DC553C" w:rsidP="00DC553C">
      <w:pPr>
        <w:jc w:val="both"/>
      </w:pPr>
      <w:r w:rsidRPr="002443A2">
        <w:t xml:space="preserve">If such liberalization is undertaken, there is a considerable reduction in production and the value of agricultural support is also reduced. We therefore assume that there will be a policy response, in the form of two different scenarios: The first is </w:t>
      </w:r>
      <w:proofErr w:type="gramStart"/>
      <w:r w:rsidRPr="002443A2">
        <w:t xml:space="preserve">called </w:t>
      </w:r>
      <w:r w:rsidR="00C76F96" w:rsidRPr="00F73F0C">
        <w:rPr>
          <w:lang w:val="en-US"/>
        </w:rPr>
        <w:t>”</w:t>
      </w:r>
      <w:proofErr w:type="gramEnd"/>
      <w:r w:rsidR="00C76F96">
        <w:rPr>
          <w:lang w:val="en-US"/>
        </w:rPr>
        <w:t>b</w:t>
      </w:r>
      <w:r w:rsidR="00C76F96" w:rsidRPr="00F73F0C">
        <w:rPr>
          <w:lang w:val="en-US"/>
        </w:rPr>
        <w:t xml:space="preserve">aseline budget” and assumes that subsidies </w:t>
      </w:r>
      <w:r w:rsidR="00C76F96">
        <w:rPr>
          <w:lang w:val="en-US"/>
        </w:rPr>
        <w:t xml:space="preserve">are maintained as baseline levels. The rationale of this scenario is to illustrate how much agriculture that can be maintained within baseline budget levels </w:t>
      </w:r>
      <w:r w:rsidR="00C76F96" w:rsidRPr="00F73F0C">
        <w:rPr>
          <w:lang w:val="en-US"/>
        </w:rPr>
        <w:t>The second is called ”</w:t>
      </w:r>
      <w:r w:rsidR="00C76F96">
        <w:rPr>
          <w:lang w:val="en-US"/>
        </w:rPr>
        <w:t>b</w:t>
      </w:r>
      <w:r w:rsidR="00C76F96" w:rsidRPr="00F73F0C">
        <w:rPr>
          <w:lang w:val="en-US"/>
        </w:rPr>
        <w:t>aseline production”</w:t>
      </w:r>
      <w:r w:rsidRPr="002443A2">
        <w:t xml:space="preserve"> and assumes that  the aim is to maintain the level of production. This scenario aims to measure the costs of switching from import barriers to domestic support, if production is to be upheld</w:t>
      </w:r>
      <w:r w:rsidR="00C76F96">
        <w:t xml:space="preserve"> at baseline levels</w:t>
      </w:r>
      <w:r w:rsidRPr="002443A2">
        <w:t>.</w:t>
      </w:r>
    </w:p>
    <w:p w:rsidR="00DC553C" w:rsidRPr="002443A2" w:rsidRDefault="00DC553C" w:rsidP="00DC553C">
      <w:pPr>
        <w:jc w:val="both"/>
      </w:pPr>
      <w:r w:rsidRPr="002443A2">
        <w:t>The results are as follows:</w:t>
      </w:r>
    </w:p>
    <w:p w:rsidR="00DC553C" w:rsidRPr="002443A2" w:rsidRDefault="00DC553C" w:rsidP="00DC553C">
      <w:pPr>
        <w:pStyle w:val="ListParagraph"/>
        <w:numPr>
          <w:ilvl w:val="0"/>
          <w:numId w:val="39"/>
        </w:numPr>
        <w:jc w:val="both"/>
      </w:pPr>
      <w:r w:rsidRPr="002443A2">
        <w:t xml:space="preserve">With </w:t>
      </w:r>
      <w:r w:rsidR="00C76F96">
        <w:t>baseline</w:t>
      </w:r>
      <w:r w:rsidR="00C76F96" w:rsidRPr="002443A2">
        <w:t xml:space="preserve"> </w:t>
      </w:r>
      <w:r w:rsidRPr="002443A2">
        <w:t xml:space="preserve">subsidies and 1% </w:t>
      </w:r>
      <w:r w:rsidR="00C76F96">
        <w:t>sensitive products</w:t>
      </w:r>
      <w:r w:rsidRPr="002443A2">
        <w:t>, there is a reduction of about 30% in production.</w:t>
      </w:r>
    </w:p>
    <w:p w:rsidR="00DC553C" w:rsidRPr="002443A2" w:rsidRDefault="00DC553C" w:rsidP="00DC553C">
      <w:pPr>
        <w:pStyle w:val="ListParagraph"/>
        <w:numPr>
          <w:ilvl w:val="0"/>
          <w:numId w:val="39"/>
        </w:numPr>
        <w:jc w:val="both"/>
      </w:pPr>
      <w:r w:rsidRPr="002443A2">
        <w:t xml:space="preserve">With </w:t>
      </w:r>
      <w:r w:rsidR="00C76F96">
        <w:t>baseline</w:t>
      </w:r>
      <w:r w:rsidR="00C76F96" w:rsidRPr="002443A2">
        <w:t xml:space="preserve"> </w:t>
      </w:r>
      <w:r w:rsidRPr="002443A2">
        <w:t xml:space="preserve">subsidies and 3% </w:t>
      </w:r>
      <w:r w:rsidR="00C76F96">
        <w:t>sensitive products</w:t>
      </w:r>
      <w:r w:rsidRPr="002443A2">
        <w:t xml:space="preserve">, there is a reduction of between 10 and 30% in production, depending on the extent of tariff cuts for </w:t>
      </w:r>
      <w:r w:rsidR="00C76F96">
        <w:t>sensitive products</w:t>
      </w:r>
      <w:r w:rsidRPr="002443A2">
        <w:t>.</w:t>
      </w:r>
    </w:p>
    <w:p w:rsidR="00DC553C" w:rsidRPr="002443A2" w:rsidRDefault="00DC553C" w:rsidP="00DC553C">
      <w:pPr>
        <w:pStyle w:val="ListParagraph"/>
        <w:numPr>
          <w:ilvl w:val="0"/>
          <w:numId w:val="39"/>
        </w:numPr>
        <w:jc w:val="both"/>
      </w:pPr>
      <w:r w:rsidRPr="002443A2">
        <w:t xml:space="preserve">In the </w:t>
      </w:r>
      <w:r w:rsidR="00C76F96">
        <w:t>baseline p</w:t>
      </w:r>
      <w:r w:rsidRPr="002443A2">
        <w:t xml:space="preserve">roduction scenario, subsidies increase by about 80% </w:t>
      </w:r>
      <w:r w:rsidR="008941B5">
        <w:t>with</w:t>
      </w:r>
      <w:r w:rsidRPr="002443A2">
        <w:t xml:space="preserve"> 1%</w:t>
      </w:r>
      <w:r w:rsidR="008941B5">
        <w:t xml:space="preserve"> sensitive products</w:t>
      </w:r>
      <w:r w:rsidRPr="002443A2">
        <w:t>, and by about 10-40% in the scenario with 3% tariff line exemptions.</w:t>
      </w:r>
    </w:p>
    <w:p w:rsidR="00DC553C" w:rsidRPr="002443A2" w:rsidRDefault="00C76F96" w:rsidP="00DC553C">
      <w:pPr>
        <w:jc w:val="both"/>
      </w:pPr>
      <w:r>
        <w:rPr>
          <w:lang w:val="en-US"/>
        </w:rPr>
        <w:t xml:space="preserve">Welfare effects are ambiguous. </w:t>
      </w:r>
      <w:r w:rsidRPr="00F73F0C">
        <w:rPr>
          <w:lang w:val="en-US"/>
        </w:rPr>
        <w:t>Higher domestic production</w:t>
      </w:r>
      <w:r>
        <w:rPr>
          <w:lang w:val="en-US"/>
        </w:rPr>
        <w:t xml:space="preserve"> frequently implies a larger provision of public goods, higher farm income, but also lower consumer welfare and higher taxpayer expenses. </w:t>
      </w:r>
      <w:r w:rsidR="00DC553C" w:rsidRPr="002443A2">
        <w:t xml:space="preserve">More detail is </w:t>
      </w:r>
      <w:r>
        <w:t>available</w:t>
      </w:r>
      <w:r w:rsidRPr="002443A2">
        <w:t xml:space="preserve"> </w:t>
      </w:r>
      <w:r w:rsidR="00DC553C" w:rsidRPr="002443A2">
        <w:t xml:space="preserve">in Mittenzwei (2016). </w:t>
      </w:r>
    </w:p>
    <w:p w:rsidR="00DC553C" w:rsidRPr="002443A2" w:rsidRDefault="00DC553C" w:rsidP="00DC553C">
      <w:pPr>
        <w:jc w:val="both"/>
      </w:pPr>
      <w:r w:rsidRPr="002443A2">
        <w:lastRenderedPageBreak/>
        <w:t xml:space="preserve">These results show that TTIP accession will be a </w:t>
      </w:r>
      <w:r w:rsidR="002F1501">
        <w:t xml:space="preserve">considerable </w:t>
      </w:r>
      <w:r w:rsidRPr="002443A2">
        <w:t>challenge for Norwegian agriculture, but there will still be a margin of manoe</w:t>
      </w:r>
      <w:r>
        <w:t>u</w:t>
      </w:r>
      <w:r w:rsidRPr="002443A2">
        <w:t>vre and the details of a future agreement will be important for the outcome.  If Norway obtains a slack of 3% in tariff protection in future negotiations</w:t>
      </w:r>
      <w:r w:rsidR="00C76F96">
        <w:t xml:space="preserve">, allowing protection </w:t>
      </w:r>
      <w:r w:rsidR="00C76F96" w:rsidRPr="00F73F0C">
        <w:rPr>
          <w:lang w:val="en-US"/>
        </w:rPr>
        <w:t>for important products like dairy and meat</w:t>
      </w:r>
      <w:r w:rsidRPr="002443A2">
        <w:t xml:space="preserve">, a considerable share of agriculture may be maintained even with unchanged budget support. On the other hand, if the slack is reduced to 1%, the challenge will be serious. The outcome remains to be seen, and we emphasize that simulations are hypothetical and illustrative and should not be taken too literally. They are intended to shed light on the impact and options for future agricultural policies in Norway, facing a trend where Norway may not be able to maintain the same level of trade protection. </w:t>
      </w:r>
    </w:p>
    <w:p w:rsidR="00DC553C" w:rsidRPr="002443A2" w:rsidRDefault="00DC553C" w:rsidP="00DC553C">
      <w:pPr>
        <w:pStyle w:val="Heading3"/>
      </w:pPr>
      <w:r w:rsidRPr="002443A2">
        <w:t>TTIP and food standards</w:t>
      </w:r>
    </w:p>
    <w:p w:rsidR="00DC553C" w:rsidRPr="002443A2" w:rsidRDefault="00DC553C" w:rsidP="00DC553C">
      <w:pPr>
        <w:jc w:val="both"/>
      </w:pPr>
      <w:r w:rsidRPr="002443A2">
        <w:t xml:space="preserve">In Europe, there has been a fear in some quarters that TTIP may erode European standards for food and health, or even lead to </w:t>
      </w:r>
      <w:proofErr w:type="gramStart"/>
      <w:r w:rsidRPr="002443A2">
        <w:t>a ”</w:t>
      </w:r>
      <w:proofErr w:type="gramEnd"/>
      <w:r w:rsidRPr="002443A2">
        <w:t xml:space="preserve">race to the bottom”. In Chapter 7 of this report and the background papers Veggeland (2016), Melchior (2016) and </w:t>
      </w:r>
      <w:r w:rsidR="00F54E10" w:rsidRPr="00F54E10">
        <w:t xml:space="preserve">Alvik et al. </w:t>
      </w:r>
      <w:r w:rsidRPr="002443A2">
        <w:t xml:space="preserve">(2016) we examine regulatory cooperation in TTIP, based on the literature and interviews with some actors in the field. </w:t>
      </w:r>
      <w:r w:rsidR="00AF317A">
        <w:t>For</w:t>
      </w:r>
      <w:r w:rsidRPr="002443A2">
        <w:t xml:space="preserve"> </w:t>
      </w:r>
      <w:proofErr w:type="gramStart"/>
      <w:r w:rsidRPr="002443A2">
        <w:t>IFO</w:t>
      </w:r>
      <w:r w:rsidR="00AF317A">
        <w:t>’s</w:t>
      </w:r>
      <w:r w:rsidRPr="002443A2">
        <w:t xml:space="preserve"> ”</w:t>
      </w:r>
      <w:proofErr w:type="gramEnd"/>
      <w:r w:rsidRPr="002443A2">
        <w:t xml:space="preserve">bottom-up” simulation scenarios, we </w:t>
      </w:r>
      <w:r w:rsidR="00AF317A">
        <w:t xml:space="preserve">have </w:t>
      </w:r>
      <w:r w:rsidRPr="002443A2">
        <w:t>also</w:t>
      </w:r>
      <w:r w:rsidR="00AF317A">
        <w:t xml:space="preserve"> – based </w:t>
      </w:r>
      <w:r w:rsidR="00AF317A" w:rsidRPr="002443A2">
        <w:t>on available literature and own assessments</w:t>
      </w:r>
      <w:r w:rsidR="00AF317A">
        <w:t xml:space="preserve">, made estimates on how regulatory cooperation may affect trade costs. </w:t>
      </w:r>
      <w:r w:rsidRPr="002443A2">
        <w:t xml:space="preserve"> </w:t>
      </w:r>
    </w:p>
    <w:p w:rsidR="00DC553C" w:rsidRPr="002443A2" w:rsidRDefault="00DC553C" w:rsidP="00DC553C">
      <w:pPr>
        <w:jc w:val="both"/>
      </w:pPr>
      <w:r w:rsidRPr="002443A2">
        <w:t xml:space="preserve">As noted in the introduction, available evidence strongly suggests that in the short and medium run, there will not be so much </w:t>
      </w:r>
      <w:r w:rsidR="00AF317A">
        <w:t>harmonisation of standards</w:t>
      </w:r>
      <w:r w:rsidRPr="002443A2">
        <w:t xml:space="preserve"> in TTIP but some ”soft” measures such as information exchange and mutual recognition agreements (MRAs). TTIP also sets up institutions for future regulatory cooperation with the aim of greater convergence in the future. In the study, we examine the prospects from different </w:t>
      </w:r>
      <w:r>
        <w:t>angles. TTIP builds on 25 years</w:t>
      </w:r>
      <w:r w:rsidRPr="002443A2">
        <w:t xml:space="preserve"> of Trans-Atlantic co</w:t>
      </w:r>
      <w:r>
        <w:t>o</w:t>
      </w:r>
      <w:r w:rsidRPr="002443A2">
        <w:t>peration in the field, and Veggeland (2016) examines the past track record. The conclusion is that former cooperation created some results but MRAs were no panacea and for some products, MRAs agreed were never implemented. Hence extending former agreements such as the Veterinary agreement from 1998 and the MRA from 1999 as parts of TTIP will be significant but not really a revolution. A suspicion is that the lack of harmonization creates a barriers to efficient ”soft” cooperation ass well and this is not really solved in TTIP even if we should not discard the significant achievements due to  MRAs for food, cars, drugs and chemicals. Lowering testing cost for drugs and ca</w:t>
      </w:r>
      <w:r>
        <w:t>rs</w:t>
      </w:r>
      <w:r w:rsidRPr="002443A2">
        <w:t xml:space="preserve"> could create significant gains.</w:t>
      </w:r>
    </w:p>
    <w:p w:rsidR="00DC553C" w:rsidRPr="002443A2" w:rsidRDefault="00DC553C" w:rsidP="00DC553C">
      <w:pPr>
        <w:jc w:val="both"/>
      </w:pPr>
      <w:r w:rsidRPr="002443A2">
        <w:t xml:space="preserve">The jury is therefore out when it comes to the potential dynamism and future regulatory convergence in TTIP. This also spills over to the legal field; with soft cooperation it can all be done as inter-governmental agreements and there are no deeper questions about regulatory sovereignty. The two giants are both </w:t>
      </w:r>
      <w:r w:rsidR="005A7F1D">
        <w:t>on guard with respect to</w:t>
      </w:r>
      <w:r w:rsidRPr="002443A2">
        <w:t xml:space="preserve"> letting the other one into i</w:t>
      </w:r>
      <w:r w:rsidR="00245884">
        <w:t>t</w:t>
      </w:r>
      <w:r w:rsidRPr="002443A2">
        <w:t xml:space="preserve">s legislative process, although stakeholder consultation and hearings will be allowed. These dimensions are also important in the context of Norway accession; with a dynamic TTIP we may have some of the issues raised formerly by the EEA, about being potentially bound by new rules and not being fully part of the decision-making. This is particularly relevant </w:t>
      </w:r>
      <w:r w:rsidR="00A86026">
        <w:t>for</w:t>
      </w:r>
      <w:r w:rsidRPr="002443A2">
        <w:t xml:space="preserve"> </w:t>
      </w:r>
      <w:proofErr w:type="gramStart"/>
      <w:r w:rsidRPr="002443A2">
        <w:t>the ”</w:t>
      </w:r>
      <w:proofErr w:type="gramEnd"/>
      <w:r w:rsidRPr="002443A2">
        <w:t xml:space="preserve">Open Skies” form of accession to TTIP.  In the EEA, a particular </w:t>
      </w:r>
      <w:r w:rsidR="00A86026">
        <w:t xml:space="preserve">institutional </w:t>
      </w:r>
      <w:r w:rsidRPr="002443A2">
        <w:t xml:space="preserve">set-up was created to take into account the constitutional </w:t>
      </w:r>
      <w:r w:rsidRPr="002443A2">
        <w:lastRenderedPageBreak/>
        <w:t>requirements, similar aspects could become relev</w:t>
      </w:r>
      <w:r>
        <w:t>a</w:t>
      </w:r>
      <w:r w:rsidRPr="002443A2">
        <w:t xml:space="preserve">nt in a deep and dynamic TTIP where Norway accedes by means of the Open Skies method. </w:t>
      </w:r>
      <w:r w:rsidR="00A86026">
        <w:t>The challenge could appear in a milder form</w:t>
      </w:r>
      <w:r w:rsidRPr="002443A2">
        <w:t xml:space="preserve"> also if Norway stays outside TTIP, if TTIP produces new rules that are incorporated into the EEA.</w:t>
      </w:r>
    </w:p>
    <w:p w:rsidR="00DC553C" w:rsidRPr="002443A2" w:rsidRDefault="00DC553C" w:rsidP="00DC553C">
      <w:pPr>
        <w:jc w:val="both"/>
      </w:pPr>
      <w:r w:rsidRPr="002443A2">
        <w:t xml:space="preserve">All in all, there is </w:t>
      </w:r>
      <w:r>
        <w:t>little</w:t>
      </w:r>
      <w:r w:rsidRPr="002443A2">
        <w:t xml:space="preserve"> evidence suggesting that TTIP will generally lower food standards or change the basic legislation </w:t>
      </w:r>
      <w:r w:rsidR="00A86026">
        <w:t xml:space="preserve">in this area </w:t>
      </w:r>
      <w:r w:rsidRPr="002443A2">
        <w:t>in the EU or the USA. The parties will still have their separate legislations on chemicals, and different approaches to GMO, hormones and c</w:t>
      </w:r>
      <w:r>
        <w:t>h</w:t>
      </w:r>
      <w:r w:rsidRPr="002443A2">
        <w:t xml:space="preserve">loride chickens. TTIP will </w:t>
      </w:r>
      <w:r w:rsidR="00F9069A">
        <w:t>simply not</w:t>
      </w:r>
      <w:r w:rsidRPr="002443A2">
        <w:t xml:space="preserve"> lead to a </w:t>
      </w:r>
      <w:r w:rsidR="00A86026">
        <w:t>“</w:t>
      </w:r>
      <w:r w:rsidRPr="002443A2">
        <w:t>race to the bottom</w:t>
      </w:r>
      <w:r w:rsidR="00A86026">
        <w:t>”</w:t>
      </w:r>
      <w:r w:rsidRPr="002443A2">
        <w:t xml:space="preserve"> for food standards. </w:t>
      </w:r>
    </w:p>
    <w:p w:rsidR="00DC553C" w:rsidRPr="002443A2" w:rsidRDefault="00DC553C" w:rsidP="00DC553C">
      <w:pPr>
        <w:pStyle w:val="Heading3"/>
      </w:pPr>
      <w:r w:rsidRPr="002443A2">
        <w:t>Investor-State Dispute Settlement (ISDS)</w:t>
      </w:r>
    </w:p>
    <w:p w:rsidR="00DC553C" w:rsidRPr="002443A2" w:rsidRDefault="00DC553C" w:rsidP="00DC553C">
      <w:pPr>
        <w:jc w:val="both"/>
      </w:pPr>
      <w:r w:rsidRPr="002443A2">
        <w:t xml:space="preserve">Another contested issue in TTIP is ISDS, where the critics fear that ISDS will unduly interfere in </w:t>
      </w:r>
      <w:proofErr w:type="gramStart"/>
      <w:r w:rsidRPr="002443A2">
        <w:t>the ”</w:t>
      </w:r>
      <w:proofErr w:type="gramEnd"/>
      <w:r w:rsidRPr="002443A2">
        <w:t xml:space="preserve">right to regulate” and contribute to a ”race to the bottom” by this channel as well. In Chapter 6 of the report and Alvik </w:t>
      </w:r>
      <w:r w:rsidR="00245884">
        <w:t>et al.</w:t>
      </w:r>
      <w:r w:rsidRPr="002443A2">
        <w:t xml:space="preserve"> (2016) we examine the issues. </w:t>
      </w:r>
    </w:p>
    <w:p w:rsidR="00DC553C" w:rsidRPr="002443A2" w:rsidRDefault="00DC553C" w:rsidP="00DC553C">
      <w:pPr>
        <w:jc w:val="both"/>
      </w:pPr>
      <w:r w:rsidRPr="002443A2">
        <w:t>There are about 3000 bilateral investment treaties (BITs) around the world and many of them have an ISDS clause whereby foreign firms may sue states if they are unduly treated or discriminated against. Similar provisions also exist in most national laws so the issue is wh</w:t>
      </w:r>
      <w:r>
        <w:t>e</w:t>
      </w:r>
      <w:r w:rsidRPr="002443A2">
        <w:t xml:space="preserve">ther foreign firms only should have this special procedure, and whether the interpretation of law differs from national practices. In Chapter 6 we show that </w:t>
      </w:r>
      <w:r w:rsidR="00F9069A">
        <w:t>with respect to</w:t>
      </w:r>
      <w:r w:rsidR="00437347">
        <w:t xml:space="preserve"> individual countries, </w:t>
      </w:r>
      <w:r w:rsidRPr="002443A2">
        <w:t>U.S.-owned firms are the most frequent users of ISDS</w:t>
      </w:r>
      <w:r w:rsidR="00437347">
        <w:t>. However if the EU countries are added together, they are clearly the largest claimant home country.</w:t>
      </w:r>
      <w:r w:rsidRPr="002443A2">
        <w:t xml:space="preserve"> 1/3 of the cases are towards countries in North and South America, and 1/3 against countries in Central and Eastern Europe and the Balkans. ISDS has largely had the purpose of improved legal rights for investors in poor or emerging countries with weak institutions, and the use of ISDS among developed countries raises the issue of whether this is actually necessary if their legal systems are good enough. In the EU, many </w:t>
      </w:r>
      <w:r>
        <w:t>E</w:t>
      </w:r>
      <w:r w:rsidRPr="002443A2">
        <w:t>astern</w:t>
      </w:r>
      <w:r>
        <w:t xml:space="preserve"> </w:t>
      </w:r>
      <w:r w:rsidRPr="002443A2">
        <w:t>new members have many BITS and they would like to replace thes</w:t>
      </w:r>
      <w:r>
        <w:t>e</w:t>
      </w:r>
      <w:r w:rsidRPr="002443A2">
        <w:t xml:space="preserve"> with more modern agreements negotiated by the EU.</w:t>
      </w:r>
    </w:p>
    <w:p w:rsidR="00DC553C" w:rsidRPr="002443A2" w:rsidRDefault="00DC553C" w:rsidP="00DC553C">
      <w:pPr>
        <w:jc w:val="both"/>
      </w:pPr>
      <w:r w:rsidRPr="002443A2">
        <w:t xml:space="preserve">There is an emerging consensus among lawyers and experts that the former ISDS practice had its clear weaknesses. This said, ISDS has existed for decades and few catastrophes have been reported. In the CETA (EU-Canada) agreement and in TTIP, a revised approach to ISDS is suggested in order to address some of the shortcomings of the old approach. In order to promote consistent law application and the integrity of the judges, ad hoc tribunals would be replaced by permanent courts or tribunals. </w:t>
      </w:r>
      <w:proofErr w:type="gramStart"/>
      <w:r w:rsidRPr="002443A2">
        <w:t>In addition, language has been added in order to safeguard the</w:t>
      </w:r>
      <w:r w:rsidR="003A4333">
        <w:t xml:space="preserve"> states’</w:t>
      </w:r>
      <w:r w:rsidRPr="002443A2">
        <w:t xml:space="preserve"> ”right to regulate” as well as to avoid frivolous interpretation of the principles.</w:t>
      </w:r>
      <w:proofErr w:type="gramEnd"/>
      <w:r w:rsidRPr="002443A2">
        <w:t xml:space="preserve"> </w:t>
      </w:r>
    </w:p>
    <w:p w:rsidR="00DC553C" w:rsidRPr="002443A2" w:rsidRDefault="00DC553C" w:rsidP="00DC553C">
      <w:pPr>
        <w:jc w:val="both"/>
      </w:pPr>
      <w:r w:rsidRPr="002443A2">
        <w:t xml:space="preserve">In the debate on ISDS, it is important to acknowledge that </w:t>
      </w:r>
      <w:r w:rsidR="003A4333">
        <w:t>investors should</w:t>
      </w:r>
      <w:r w:rsidRPr="002443A2">
        <w:t xml:space="preserve"> legitimately have legal protection. The main principles are included in legislation worldwide, but interpretation might differ. Some main principles are: </w:t>
      </w:r>
    </w:p>
    <w:p w:rsidR="00DC553C" w:rsidRPr="002443A2" w:rsidRDefault="00DC553C" w:rsidP="00DC553C">
      <w:pPr>
        <w:pStyle w:val="ListParagraph"/>
        <w:numPr>
          <w:ilvl w:val="0"/>
          <w:numId w:val="40"/>
        </w:numPr>
        <w:jc w:val="both"/>
      </w:pPr>
      <w:r w:rsidRPr="002443A2">
        <w:t>The right to compensation in the case of expropriation.</w:t>
      </w:r>
    </w:p>
    <w:p w:rsidR="00DC553C" w:rsidRPr="002443A2" w:rsidRDefault="00DC553C" w:rsidP="00DC553C">
      <w:pPr>
        <w:pStyle w:val="ListParagraph"/>
        <w:numPr>
          <w:ilvl w:val="0"/>
          <w:numId w:val="40"/>
        </w:numPr>
        <w:jc w:val="both"/>
      </w:pPr>
      <w:r w:rsidRPr="002443A2">
        <w:t>The right to fair and equitable treatment.</w:t>
      </w:r>
    </w:p>
    <w:p w:rsidR="00DC553C" w:rsidRPr="002443A2" w:rsidRDefault="00DC553C" w:rsidP="00DC553C">
      <w:pPr>
        <w:pStyle w:val="ListParagraph"/>
        <w:numPr>
          <w:ilvl w:val="0"/>
          <w:numId w:val="40"/>
        </w:numPr>
        <w:jc w:val="both"/>
      </w:pPr>
      <w:r w:rsidRPr="002443A2">
        <w:lastRenderedPageBreak/>
        <w:t>The right to national treatment; i.e. not inferior to the treatment of domestic investors.</w:t>
      </w:r>
    </w:p>
    <w:p w:rsidR="00DC553C" w:rsidRPr="002443A2" w:rsidRDefault="00DC553C" w:rsidP="00DC553C">
      <w:pPr>
        <w:jc w:val="both"/>
      </w:pPr>
      <w:r w:rsidRPr="002443A2">
        <w:t xml:space="preserve">In the different areas, an issue is </w:t>
      </w:r>
      <w:r w:rsidR="00512C99">
        <w:t>to what extent</w:t>
      </w:r>
      <w:r w:rsidRPr="002443A2">
        <w:t xml:space="preserve"> the ISDS clause </w:t>
      </w:r>
      <w:r w:rsidR="003A4333">
        <w:t>includes language that limits the possibility of</w:t>
      </w:r>
      <w:r w:rsidRPr="002443A2">
        <w:t xml:space="preserve"> extensions of the interpretation by international tribunals</w:t>
      </w:r>
      <w:r w:rsidR="00245884">
        <w:t>, and how this works out in practice</w:t>
      </w:r>
      <w:r w:rsidRPr="002443A2">
        <w:t>.</w:t>
      </w:r>
      <w:r w:rsidR="003A4333">
        <w:t xml:space="preserve"> </w:t>
      </w:r>
      <w:r w:rsidR="00245884">
        <w:t>P</w:t>
      </w:r>
      <w:r w:rsidRPr="002443A2">
        <w:t>ermanent tribunals will promote more consistent interpretation</w:t>
      </w:r>
      <w:r w:rsidR="00245884">
        <w:t xml:space="preserve"> of the law, </w:t>
      </w:r>
      <w:r w:rsidR="00E84A61">
        <w:t>but may also give the ISDS institution more weight or authority</w:t>
      </w:r>
      <w:r w:rsidRPr="002443A2">
        <w:t>.</w:t>
      </w:r>
    </w:p>
    <w:p w:rsidR="00DC553C" w:rsidRPr="002443A2" w:rsidRDefault="00DC553C" w:rsidP="00DC553C">
      <w:pPr>
        <w:jc w:val="both"/>
      </w:pPr>
      <w:r w:rsidRPr="002443A2">
        <w:t>The legal assessment (</w:t>
      </w:r>
      <w:r w:rsidR="00512C99">
        <w:t xml:space="preserve">Chapter 6 and </w:t>
      </w:r>
      <w:r w:rsidRPr="002443A2">
        <w:t xml:space="preserve">Alvik </w:t>
      </w:r>
      <w:r w:rsidR="00512C99">
        <w:t xml:space="preserve">et. al. </w:t>
      </w:r>
      <w:r w:rsidRPr="002443A2">
        <w:t xml:space="preserve">2016) suggests that international tribunals sometimes extend interpretation </w:t>
      </w:r>
      <w:r w:rsidR="00AB452D">
        <w:t xml:space="preserve">of the principles </w:t>
      </w:r>
      <w:r w:rsidRPr="002443A2">
        <w:t xml:space="preserve">beyond </w:t>
      </w:r>
      <w:r w:rsidR="00AB452D">
        <w:t>established</w:t>
      </w:r>
      <w:r w:rsidRPr="002443A2">
        <w:t xml:space="preserve"> practice. The content and wording of an ISDS clause in TTIP is therefore important, and in CETA as well as TTIP, the EU has added language that limits the scope for </w:t>
      </w:r>
      <w:r w:rsidR="00AB452D">
        <w:t>unwanted extensions of</w:t>
      </w:r>
      <w:r w:rsidRPr="002443A2">
        <w:t xml:space="preserve"> interpretation and </w:t>
      </w:r>
      <w:r w:rsidR="00AB452D">
        <w:t xml:space="preserve">that </w:t>
      </w:r>
      <w:r w:rsidRPr="002443A2">
        <w:t xml:space="preserve">safeguards the ”right to regulate”. </w:t>
      </w:r>
      <w:r w:rsidR="00AB452D">
        <w:t>A</w:t>
      </w:r>
      <w:r w:rsidRPr="002443A2">
        <w:t xml:space="preserve"> reformed ISDS</w:t>
      </w:r>
      <w:r w:rsidR="00AB452D">
        <w:t xml:space="preserve"> clause</w:t>
      </w:r>
      <w:r w:rsidRPr="002443A2">
        <w:t xml:space="preserve"> that limits undue extensions of interpr</w:t>
      </w:r>
      <w:r>
        <w:t>e</w:t>
      </w:r>
      <w:r w:rsidRPr="002443A2">
        <w:t>tation may be close to standard practice under Norwegian law. In Norway, there has also been a debate on the constitutional aspects of ISDS; this is als</w:t>
      </w:r>
      <w:r>
        <w:t>o</w:t>
      </w:r>
      <w:r w:rsidRPr="002443A2">
        <w:t xml:space="preserve"> reviewed in the background paper.</w:t>
      </w:r>
    </w:p>
    <w:p w:rsidR="002625C7" w:rsidRDefault="00DC553C" w:rsidP="00DC553C">
      <w:pPr>
        <w:jc w:val="both"/>
      </w:pPr>
      <w:r w:rsidRPr="002443A2">
        <w:t>An ISDS clause in TTIP is likely to apply between the USA and individual EU countries and not internally between EU countries. The asses</w:t>
      </w:r>
      <w:r>
        <w:t>s</w:t>
      </w:r>
      <w:r w:rsidRPr="002443A2">
        <w:t xml:space="preserve">ment of Alvik </w:t>
      </w:r>
      <w:r w:rsidR="00E84A61">
        <w:t>et al.</w:t>
      </w:r>
      <w:r w:rsidRPr="002443A2">
        <w:t xml:space="preserve"> (2016) is that Norwegian companies do not need ISDS in the USA very strongly but it could be </w:t>
      </w:r>
      <w:r w:rsidR="00AB452D">
        <w:t xml:space="preserve">more </w:t>
      </w:r>
      <w:r w:rsidRPr="002443A2">
        <w:t xml:space="preserve">useful with respect to some EU countries. </w:t>
      </w:r>
    </w:p>
    <w:p w:rsidR="00DC553C" w:rsidRPr="002443A2" w:rsidRDefault="002625C7" w:rsidP="00DC553C">
      <w:pPr>
        <w:jc w:val="both"/>
      </w:pPr>
      <w:r>
        <w:t xml:space="preserve">Along with food and health standards, ISDS has been an area where fears of “regulatory chill” have been expressed. Here it is useful to recall that there is a need for international and not only national regulation, and it </w:t>
      </w:r>
      <w:r w:rsidR="0061543C">
        <w:t>may</w:t>
      </w:r>
      <w:r>
        <w:t xml:space="preserve"> be a problem if there is a “chill” for international regulation of investment</w:t>
      </w:r>
      <w:r w:rsidR="0061543C">
        <w:t xml:space="preserve"> and multinationals</w:t>
      </w:r>
      <w:r>
        <w:t xml:space="preserve">. </w:t>
      </w:r>
      <w:r w:rsidR="00DC553C" w:rsidRPr="002443A2">
        <w:t xml:space="preserve">On a global scale, an issue is </w:t>
      </w:r>
      <w:r w:rsidR="0061543C">
        <w:t>whether</w:t>
      </w:r>
      <w:r w:rsidR="00DC553C" w:rsidRPr="002443A2">
        <w:t xml:space="preserve"> there is a need for an investment regime where the rights as well as the obligations of multinationals are addressed.  </w:t>
      </w:r>
    </w:p>
    <w:p w:rsidR="00DC553C" w:rsidRPr="002443A2" w:rsidRDefault="00DC553C" w:rsidP="00DC553C">
      <w:pPr>
        <w:pStyle w:val="Heading3"/>
      </w:pPr>
      <w:r w:rsidRPr="002443A2">
        <w:t>No free trade for fish?</w:t>
      </w:r>
    </w:p>
    <w:p w:rsidR="00DC553C" w:rsidRPr="002443A2" w:rsidRDefault="00DC553C" w:rsidP="00DC553C">
      <w:pPr>
        <w:jc w:val="both"/>
      </w:pPr>
      <w:r w:rsidRPr="002443A2">
        <w:t>In the trade policy debate in Norway, the seafood sector has been a key actor promoting FTAs and market access for its exports to the whol</w:t>
      </w:r>
      <w:r>
        <w:t>e</w:t>
      </w:r>
      <w:r w:rsidRPr="002443A2">
        <w:t xml:space="preserve"> world. IFOs analysis shows that the sector will lose some from TTIP without Norway, and gain some from TTIP accession. In Chapter 9, we show that the seafood sector save</w:t>
      </w:r>
      <w:r>
        <w:t>s</w:t>
      </w:r>
      <w:r w:rsidRPr="002443A2">
        <w:t xml:space="preserve"> about 2 billion NOK in tariffs due to Norway’s current FTAs, but still pay more than 2 billion NOK in tariffs. Out of this, 0</w:t>
      </w:r>
      <w:proofErr w:type="gramStart"/>
      <w:r w:rsidRPr="002443A2">
        <w:t>,9</w:t>
      </w:r>
      <w:proofErr w:type="gramEnd"/>
      <w:r w:rsidRPr="002443A2">
        <w:t xml:space="preserve"> billion NOK are tariffs in the EU market. In some markets such as Russia and China, non-tariff barriers have also been significant. Non-tariff issues are </w:t>
      </w:r>
      <w:r w:rsidR="003A4466">
        <w:t xml:space="preserve">mainly </w:t>
      </w:r>
      <w:r w:rsidRPr="002443A2">
        <w:t xml:space="preserve">solved in the EEA due to Norway’s membership in the EU veterinary agreement.  Formerly, there were two decades of conflicts with the EU as well as the USA related to dumping. These cases were solved in 2008 and 2012, respectively. For exports to the USA, there are currently no major non-tariff barriers but two pieces of new legislation (environmentally </w:t>
      </w:r>
      <w:proofErr w:type="gramStart"/>
      <w:r w:rsidRPr="002443A2">
        <w:t>motivated,</w:t>
      </w:r>
      <w:proofErr w:type="gramEnd"/>
      <w:r w:rsidRPr="002443A2">
        <w:t xml:space="preserve"> and about traceability, unregulated fishing and fish stock management) will be implemented in 2017. Thes</w:t>
      </w:r>
      <w:r>
        <w:t>e</w:t>
      </w:r>
      <w:r w:rsidRPr="002443A2">
        <w:t xml:space="preserve"> may create additional costs for trade</w:t>
      </w:r>
      <w:r w:rsidR="00426915">
        <w:t>,</w:t>
      </w:r>
      <w:r w:rsidRPr="002443A2">
        <w:t xml:space="preserve"> and Norway has participated in hearing</w:t>
      </w:r>
      <w:r w:rsidR="00426915">
        <w:t>s</w:t>
      </w:r>
      <w:r w:rsidRPr="002443A2">
        <w:t xml:space="preserve"> to </w:t>
      </w:r>
      <w:r w:rsidR="00426915">
        <w:t>influence</w:t>
      </w:r>
      <w:r w:rsidRPr="002443A2">
        <w:t xml:space="preserve"> the details of the </w:t>
      </w:r>
      <w:r w:rsidR="00426915">
        <w:t xml:space="preserve">new </w:t>
      </w:r>
      <w:r w:rsidRPr="002443A2">
        <w:t>legislation.</w:t>
      </w:r>
    </w:p>
    <w:p w:rsidR="00DC553C" w:rsidRPr="002443A2" w:rsidRDefault="00DC553C" w:rsidP="00DC553C">
      <w:pPr>
        <w:jc w:val="both"/>
      </w:pPr>
      <w:r w:rsidRPr="002443A2">
        <w:lastRenderedPageBreak/>
        <w:t xml:space="preserve">For the EU market, a paradox is that other countries such as Chile and Canada now obtain zero tariffs for seafood </w:t>
      </w:r>
      <w:r>
        <w:t>i</w:t>
      </w:r>
      <w:r w:rsidRPr="002443A2">
        <w:t>n the EU market wher</w:t>
      </w:r>
      <w:r>
        <w:t>e</w:t>
      </w:r>
      <w:r w:rsidRPr="002443A2">
        <w:t xml:space="preserve">as Norway, being a loyal member of European integration for decades, still face significant tariffs and a patchwork of about 50 tariff rate quotas accumulated over decades, partly as compensation for EU enlargements. TTIP may actually create an opportunity to do something about this, if TTIP is established and Norway accedes. In this case, tariffs for fish and agriculture will have to be renegotiated, without </w:t>
      </w:r>
      <w:r w:rsidR="00426915">
        <w:t>necessarily involving</w:t>
      </w:r>
      <w:r w:rsidRPr="002443A2">
        <w:t xml:space="preserve"> catch quotas and other issues where the interests of aquaculture and other parts of the fishing industry may </w:t>
      </w:r>
      <w:r w:rsidR="00E84A61">
        <w:t>differ</w:t>
      </w:r>
      <w:r w:rsidRPr="002443A2">
        <w:t>.</w:t>
      </w:r>
    </w:p>
    <w:p w:rsidR="00DC553C" w:rsidRPr="002443A2" w:rsidRDefault="00DC553C" w:rsidP="00DC553C">
      <w:pPr>
        <w:pStyle w:val="Heading3"/>
      </w:pPr>
      <w:r w:rsidRPr="002443A2">
        <w:t xml:space="preserve">Services –gains in some sectors but </w:t>
      </w:r>
      <w:proofErr w:type="gramStart"/>
      <w:r w:rsidRPr="002443A2">
        <w:t>no ”</w:t>
      </w:r>
      <w:proofErr w:type="gramEnd"/>
      <w:r w:rsidRPr="002443A2">
        <w:t>cabotage” for sea transport</w:t>
      </w:r>
      <w:r w:rsidR="007628BC">
        <w:t xml:space="preserve"> in the USA</w:t>
      </w:r>
    </w:p>
    <w:p w:rsidR="00DC553C" w:rsidRPr="002443A2" w:rsidRDefault="00DC553C" w:rsidP="00DC553C">
      <w:pPr>
        <w:jc w:val="both"/>
      </w:pPr>
      <w:r w:rsidRPr="002443A2">
        <w:t>The IFO results</w:t>
      </w:r>
      <w:r>
        <w:t xml:space="preserve"> </w:t>
      </w:r>
      <w:r w:rsidRPr="002443A2">
        <w:t xml:space="preserve">indicate that </w:t>
      </w:r>
      <w:r w:rsidR="007628BC" w:rsidRPr="002443A2">
        <w:t xml:space="preserve">services </w:t>
      </w:r>
      <w:r w:rsidR="007628BC">
        <w:t xml:space="preserve">industries </w:t>
      </w:r>
      <w:r w:rsidR="007628BC" w:rsidRPr="002443A2">
        <w:t xml:space="preserve">will </w:t>
      </w:r>
      <w:r w:rsidR="007628BC">
        <w:t>obtain</w:t>
      </w:r>
      <w:r w:rsidR="007628BC" w:rsidRPr="002443A2">
        <w:t xml:space="preserve"> important gains from TTIP accession</w:t>
      </w:r>
      <w:r w:rsidR="007628BC">
        <w:t>, with business services on top, and public sector services will gain from lower input prices due to the value chain effects. Several s</w:t>
      </w:r>
      <w:r w:rsidRPr="002443A2">
        <w:t>ervice sectors will gain from TTIP but not all</w:t>
      </w:r>
      <w:r w:rsidR="007628BC">
        <w:t>. S</w:t>
      </w:r>
      <w:r w:rsidRPr="002443A2">
        <w:t>ea transport</w:t>
      </w:r>
      <w:r w:rsidR="007628BC">
        <w:t>s</w:t>
      </w:r>
      <w:r w:rsidRPr="002443A2">
        <w:t xml:space="preserve"> would lose significantly from staying outside TTIP but this </w:t>
      </w:r>
      <w:r w:rsidR="007628BC">
        <w:t>loss</w:t>
      </w:r>
      <w:r w:rsidRPr="002443A2">
        <w:t xml:space="preserve"> would be largely eliminated with TTIP accession. </w:t>
      </w:r>
    </w:p>
    <w:p w:rsidR="00DC553C" w:rsidRPr="002443A2" w:rsidRDefault="00DC553C" w:rsidP="00DC553C">
      <w:pPr>
        <w:jc w:val="both"/>
      </w:pPr>
      <w:r w:rsidRPr="002443A2">
        <w:t xml:space="preserve">Chapter 9.3 examines further services liberalisation in TTIP, painting a somewhat </w:t>
      </w:r>
      <w:r>
        <w:t>bleak</w:t>
      </w:r>
      <w:r w:rsidRPr="002443A2">
        <w:t xml:space="preserve"> picture about the prospects for market opening in </w:t>
      </w:r>
      <w:r>
        <w:t xml:space="preserve">some </w:t>
      </w:r>
      <w:r w:rsidRPr="002443A2">
        <w:t xml:space="preserve">major sectors. For example, domestic sea transports between U.S. ports are reserved for domestic carriers under the Jones Act of the USA. </w:t>
      </w:r>
      <w:proofErr w:type="gramStart"/>
      <w:r w:rsidRPr="002443A2">
        <w:t>Such ”</w:t>
      </w:r>
      <w:proofErr w:type="gramEnd"/>
      <w:r w:rsidRPr="002443A2">
        <w:t xml:space="preserve">cabotage” is not likely to be opened to foreigners in TTIP, although some shipping-related other services and goods may be affected.  </w:t>
      </w:r>
    </w:p>
    <w:p w:rsidR="00DC553C" w:rsidRPr="002443A2" w:rsidRDefault="00DC553C" w:rsidP="00DC553C">
      <w:pPr>
        <w:jc w:val="both"/>
      </w:pPr>
      <w:r w:rsidRPr="002443A2">
        <w:t>We refer to Chapter 9.3 for more detail on services.</w:t>
      </w:r>
    </w:p>
    <w:p w:rsidR="00DC553C" w:rsidRPr="002443A2" w:rsidRDefault="00DC553C" w:rsidP="00DC553C">
      <w:pPr>
        <w:pStyle w:val="Heading3"/>
      </w:pPr>
      <w:r w:rsidRPr="002443A2">
        <w:t xml:space="preserve">Summing up: </w:t>
      </w:r>
      <w:r>
        <w:t xml:space="preserve">Some </w:t>
      </w:r>
      <w:r w:rsidR="0026271C">
        <w:t>implications</w:t>
      </w:r>
    </w:p>
    <w:p w:rsidR="00DC553C" w:rsidRPr="002443A2" w:rsidRDefault="00DC553C" w:rsidP="00DC553C">
      <w:pPr>
        <w:jc w:val="both"/>
      </w:pPr>
      <w:r w:rsidRPr="002443A2">
        <w:t>The review shows the breadth of our study, comprising analysis of economics, institutions, trade policy and law. The results speak for themselves but let us end by reverting to the trade policy challenges mentioned at the start.</w:t>
      </w:r>
    </w:p>
    <w:p w:rsidR="00DC553C" w:rsidRPr="002443A2" w:rsidRDefault="00DC553C" w:rsidP="00DC553C">
      <w:pPr>
        <w:jc w:val="both"/>
      </w:pPr>
      <w:r w:rsidRPr="002443A2">
        <w:t>On global trade policy, TTIP suggests that regulatory cooperation across continents is a complicated task, even between rich countries with a strong commitment. The objective of promoting global trade rules is important, and TTIP will be an important contribution if it succeeds.</w:t>
      </w:r>
    </w:p>
    <w:p w:rsidR="00DC553C" w:rsidRPr="002443A2" w:rsidRDefault="00DC553C" w:rsidP="00DC553C">
      <w:pPr>
        <w:jc w:val="both"/>
      </w:pPr>
      <w:r w:rsidRPr="002443A2">
        <w:t>The background studies also show that in many areas, plurilateral agreements are important in regulatory cooperation so even TTIP is part of a broader setting where other countries participate.</w:t>
      </w:r>
      <w:r w:rsidR="00140BEF">
        <w:t xml:space="preserve"> “Pragmatic multilateralism” is a slogan also in U.S. trade policy, emphasizing plurilateral agreements where agreement on reforms through the WTO is difficult to obtain.</w:t>
      </w:r>
    </w:p>
    <w:p w:rsidR="00DC553C" w:rsidRPr="002443A2" w:rsidRDefault="00DC553C" w:rsidP="00DC553C">
      <w:pPr>
        <w:jc w:val="both"/>
      </w:pPr>
      <w:r w:rsidRPr="002443A2">
        <w:t>For Norway</w:t>
      </w:r>
      <w:r w:rsidR="00A149C5">
        <w:t>’s economy</w:t>
      </w:r>
      <w:r w:rsidRPr="002443A2">
        <w:t xml:space="preserve">, the study </w:t>
      </w:r>
      <w:r w:rsidR="00A149C5">
        <w:t>has a number of important implications</w:t>
      </w:r>
      <w:r w:rsidRPr="002443A2">
        <w:t>:</w:t>
      </w:r>
    </w:p>
    <w:p w:rsidR="00A149C5" w:rsidRDefault="00DC553C" w:rsidP="00DC553C">
      <w:pPr>
        <w:pStyle w:val="ListParagraph"/>
        <w:numPr>
          <w:ilvl w:val="0"/>
          <w:numId w:val="41"/>
        </w:numPr>
        <w:jc w:val="both"/>
      </w:pPr>
      <w:r w:rsidRPr="002443A2">
        <w:t xml:space="preserve">While TTIP without Norway will have marginal effects on the Norwegian economy </w:t>
      </w:r>
      <w:r w:rsidR="009D5BA8">
        <w:t>as a whole</w:t>
      </w:r>
      <w:r w:rsidRPr="002443A2">
        <w:t xml:space="preserve">, </w:t>
      </w:r>
      <w:r w:rsidR="009D5BA8">
        <w:t>a majority of industries – in particular some manufacturing sectors – will lose from staying outside TTIP.</w:t>
      </w:r>
      <w:r w:rsidR="00E86BC6">
        <w:t xml:space="preserve"> </w:t>
      </w:r>
    </w:p>
    <w:p w:rsidR="00E86BC6" w:rsidRDefault="00E86BC6" w:rsidP="00DC553C">
      <w:pPr>
        <w:pStyle w:val="ListParagraph"/>
        <w:numPr>
          <w:ilvl w:val="0"/>
          <w:numId w:val="41"/>
        </w:numPr>
        <w:jc w:val="both"/>
      </w:pPr>
      <w:r>
        <w:lastRenderedPageBreak/>
        <w:t xml:space="preserve">For a small country like Norway, it is of key importance whether TTIP stimulates growth in the EU and the USA. For this reason, TTIP is important even for the oil and gas sector. </w:t>
      </w:r>
    </w:p>
    <w:p w:rsidR="00DC553C" w:rsidRPr="002443A2" w:rsidRDefault="00A149C5" w:rsidP="00DC553C">
      <w:pPr>
        <w:pStyle w:val="ListParagraph"/>
        <w:numPr>
          <w:ilvl w:val="0"/>
          <w:numId w:val="41"/>
        </w:numPr>
        <w:jc w:val="both"/>
      </w:pPr>
      <w:r>
        <w:t>A</w:t>
      </w:r>
      <w:r w:rsidR="00DC553C" w:rsidRPr="002443A2">
        <w:t xml:space="preserve">ccession to TTIP will create </w:t>
      </w:r>
      <w:r>
        <w:t>large</w:t>
      </w:r>
      <w:r w:rsidRPr="002443A2">
        <w:t xml:space="preserve"> </w:t>
      </w:r>
      <w:r w:rsidR="00DC553C" w:rsidRPr="002443A2">
        <w:t>economic gains</w:t>
      </w:r>
      <w:r>
        <w:t xml:space="preserve"> for Norway</w:t>
      </w:r>
      <w:r w:rsidR="00E86BC6">
        <w:t>, and positive effects for a majority of sectors – with some services industries on top</w:t>
      </w:r>
      <w:r w:rsidR="00DC553C" w:rsidRPr="002443A2">
        <w:t>.</w:t>
      </w:r>
    </w:p>
    <w:p w:rsidR="00DC553C" w:rsidRPr="002443A2" w:rsidRDefault="00DC553C" w:rsidP="00DC553C">
      <w:pPr>
        <w:pStyle w:val="ListParagraph"/>
        <w:numPr>
          <w:ilvl w:val="0"/>
          <w:numId w:val="41"/>
        </w:numPr>
        <w:jc w:val="both"/>
      </w:pPr>
      <w:r w:rsidRPr="002443A2">
        <w:t xml:space="preserve">For agriculture, there will be policy space left also with TTIP, so TTIP accession means </w:t>
      </w:r>
      <w:r w:rsidR="002F1501">
        <w:t xml:space="preserve">considerable </w:t>
      </w:r>
      <w:r w:rsidRPr="002443A2">
        <w:t xml:space="preserve">challenges for agriculture but not closure. The results depend on the </w:t>
      </w:r>
      <w:r w:rsidR="002F1501">
        <w:t xml:space="preserve">specific </w:t>
      </w:r>
      <w:r w:rsidRPr="002443A2">
        <w:t xml:space="preserve">outcome of </w:t>
      </w:r>
      <w:r w:rsidR="009D5BA8">
        <w:t>future</w:t>
      </w:r>
      <w:r w:rsidR="002F1501">
        <w:t xml:space="preserve"> </w:t>
      </w:r>
      <w:r w:rsidRPr="002443A2">
        <w:t xml:space="preserve">negotiations and the policy </w:t>
      </w:r>
      <w:r w:rsidR="002F1501">
        <w:t>responses</w:t>
      </w:r>
      <w:r w:rsidRPr="002443A2">
        <w:t>.</w:t>
      </w:r>
    </w:p>
    <w:p w:rsidR="00E86BC6" w:rsidRDefault="00E86BC6" w:rsidP="00DC553C">
      <w:pPr>
        <w:jc w:val="both"/>
      </w:pPr>
      <w:r>
        <w:t xml:space="preserve">The Norwegian trade policy debate has sometimes been dominated by the seafood and agriculture sectors, but the study shows that a number of other </w:t>
      </w:r>
      <w:bookmarkStart w:id="0" w:name="_GoBack"/>
      <w:bookmarkEnd w:id="0"/>
      <w:r>
        <w:t>sectors have reasons to become more concerned about trade policy.</w:t>
      </w:r>
    </w:p>
    <w:p w:rsidR="00DC553C" w:rsidRDefault="00DC553C" w:rsidP="00DC553C">
      <w:pPr>
        <w:jc w:val="both"/>
      </w:pPr>
      <w:r w:rsidRPr="002443A2">
        <w:t>For Norway, TTIP also raises some important institutional issues. If TTIP succeeds in creating a dynamic agreement with extensive regulatory co</w:t>
      </w:r>
      <w:r>
        <w:t>o</w:t>
      </w:r>
      <w:r w:rsidRPr="002443A2">
        <w:t xml:space="preserve">peration, the standard inter-governmental approach to trade agreements may no longer be appropriate and the </w:t>
      </w:r>
      <w:r>
        <w:t>“</w:t>
      </w:r>
      <w:r w:rsidRPr="002443A2">
        <w:t>Open Skies” approach where Norway becomes part of a European pillar is more likely. In this case, we cede the authority to make agreements with third countries to the EU in the relevant fields. This creates a whole new range of issues for trade policy. A positive side would be that we could benef</w:t>
      </w:r>
      <w:r>
        <w:t>i</w:t>
      </w:r>
      <w:r w:rsidRPr="002443A2">
        <w:t>t from the weight and force of the EU to defend our interests, be it in Open Skies or veterinary conflicts with Russia. On the other hand, we might have new discussions about regulatory sovereignty</w:t>
      </w:r>
      <w:r>
        <w:t xml:space="preserve"> and legal issues</w:t>
      </w:r>
      <w:r w:rsidRPr="002443A2">
        <w:t>, of the type that have applied to EEA in the past.</w:t>
      </w:r>
    </w:p>
    <w:p w:rsidR="00E86BC6" w:rsidRPr="002443A2" w:rsidRDefault="00E86BC6" w:rsidP="00DC553C">
      <w:pPr>
        <w:jc w:val="both"/>
      </w:pPr>
      <w:r>
        <w:t xml:space="preserve">It should </w:t>
      </w:r>
      <w:r w:rsidR="00591F61">
        <w:t xml:space="preserve">finally </w:t>
      </w:r>
      <w:r>
        <w:t>be recalled that TTIP is also about “rules”</w:t>
      </w:r>
      <w:r w:rsidR="00591F61">
        <w:t xml:space="preserve"> (the third pillar in TTIP)</w:t>
      </w:r>
      <w:r>
        <w:t xml:space="preserve"> issues such as sustainability and human rights. </w:t>
      </w:r>
      <w:r w:rsidR="00264704">
        <w:t>This is another field where Norway or EFTA are too small to set the global standards. When these fields become more important in trade policy, it adds to the argument for a</w:t>
      </w:r>
      <w:r w:rsidR="00591F61">
        <w:t>n even</w:t>
      </w:r>
      <w:r w:rsidR="00264704">
        <w:t xml:space="preserve"> stronger cooperation with the EU in trade policy relations with third countries.</w:t>
      </w:r>
    </w:p>
    <w:p w:rsidR="00DC553C" w:rsidRPr="002443A2" w:rsidRDefault="00DC553C" w:rsidP="00DC553C">
      <w:pPr>
        <w:jc w:val="both"/>
      </w:pPr>
    </w:p>
    <w:p w:rsidR="002815D4" w:rsidRDefault="002815D4">
      <w:pPr>
        <w:rPr>
          <w:rFonts w:ascii="Arial Narrow" w:eastAsiaTheme="majorEastAsia" w:hAnsi="Arial Narrow" w:cs="Arial"/>
          <w:b/>
          <w:bCs/>
          <w:color w:val="595959" w:themeColor="text1" w:themeTint="A6"/>
          <w:sz w:val="40"/>
          <w:szCs w:val="40"/>
        </w:rPr>
      </w:pPr>
      <w:r>
        <w:br w:type="page"/>
      </w:r>
    </w:p>
    <w:sectPr w:rsidR="002815D4" w:rsidSect="004F4568">
      <w:footerReference w:type="default" r:id="rId9"/>
      <w:pgSz w:w="11906" w:h="16838"/>
      <w:pgMar w:top="1417" w:right="1417" w:bottom="1417" w:left="24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E1" w:rsidRDefault="00880BE1" w:rsidP="00AF2EA1">
      <w:pPr>
        <w:spacing w:after="0" w:line="240" w:lineRule="auto"/>
      </w:pPr>
      <w:r>
        <w:separator/>
      </w:r>
    </w:p>
  </w:endnote>
  <w:endnote w:type="continuationSeparator" w:id="0">
    <w:p w:rsidR="00880BE1" w:rsidRDefault="00880BE1" w:rsidP="00AF2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宋体">
    <w:charset w:val="50"/>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MetaBook-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9700"/>
      <w:docPartObj>
        <w:docPartGallery w:val="Page Numbers (Bottom of Page)"/>
        <w:docPartUnique/>
      </w:docPartObj>
    </w:sdtPr>
    <w:sdtContent>
      <w:p w:rsidR="00880BE1" w:rsidRDefault="00880BE1">
        <w:pPr>
          <w:pStyle w:val="Footer"/>
          <w:jc w:val="right"/>
        </w:pPr>
        <w:fldSimple w:instr=" PAGE   \* MERGEFORMAT ">
          <w:r w:rsidR="00336752">
            <w:rPr>
              <w:noProof/>
            </w:rPr>
            <w:t>5</w:t>
          </w:r>
        </w:fldSimple>
      </w:p>
    </w:sdtContent>
  </w:sdt>
  <w:p w:rsidR="00880BE1" w:rsidRDefault="00880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E1" w:rsidRDefault="00880BE1" w:rsidP="00AF2EA1">
      <w:pPr>
        <w:spacing w:after="0" w:line="240" w:lineRule="auto"/>
      </w:pPr>
      <w:r>
        <w:separator/>
      </w:r>
    </w:p>
  </w:footnote>
  <w:footnote w:type="continuationSeparator" w:id="0">
    <w:p w:rsidR="00880BE1" w:rsidRDefault="00880BE1" w:rsidP="00AF2EA1">
      <w:pPr>
        <w:spacing w:after="0" w:line="240" w:lineRule="auto"/>
      </w:pPr>
      <w:r>
        <w:continuationSeparator/>
      </w:r>
    </w:p>
  </w:footnote>
  <w:footnote w:id="1">
    <w:p w:rsidR="00880BE1" w:rsidRPr="00482321" w:rsidRDefault="00880BE1">
      <w:pPr>
        <w:pStyle w:val="FootnoteText"/>
        <w:rPr>
          <w:lang w:val="nb-NO"/>
        </w:rPr>
      </w:pPr>
      <w:r>
        <w:rPr>
          <w:rStyle w:val="FootnoteReference"/>
        </w:rPr>
        <w:footnoteRef/>
      </w:r>
      <w:r>
        <w:t xml:space="preserve"> </w:t>
      </w:r>
      <w:r>
        <w:rPr>
          <w:lang w:val="nb-NO"/>
        </w:rPr>
        <w:t>An exception is the threshold for entry into force if some countries do not ratify the agreement, which gives large countries a blocking minority but not the smaller countries.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CEE"/>
    <w:multiLevelType w:val="multilevel"/>
    <w:tmpl w:val="1DDCCDDC"/>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CE96D86"/>
    <w:multiLevelType w:val="multilevel"/>
    <w:tmpl w:val="D8525DEA"/>
    <w:lvl w:ilvl="0">
      <w:start w:val="3"/>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3CC3EDE"/>
    <w:multiLevelType w:val="hybridMultilevel"/>
    <w:tmpl w:val="FB5C8312"/>
    <w:lvl w:ilvl="0" w:tplc="192C1B7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AD68A9"/>
    <w:multiLevelType w:val="hybridMultilevel"/>
    <w:tmpl w:val="E7B82DD0"/>
    <w:lvl w:ilvl="0" w:tplc="83282B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B8031A"/>
    <w:multiLevelType w:val="multilevel"/>
    <w:tmpl w:val="66F2C1F0"/>
    <w:lvl w:ilvl="0">
      <w:start w:val="4"/>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AE6419"/>
    <w:multiLevelType w:val="hybridMultilevel"/>
    <w:tmpl w:val="C6CAC336"/>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DCB39E3"/>
    <w:multiLevelType w:val="hybridMultilevel"/>
    <w:tmpl w:val="FD52E4F2"/>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2442A7E"/>
    <w:multiLevelType w:val="hybridMultilevel"/>
    <w:tmpl w:val="A690842C"/>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34FB4C23"/>
    <w:multiLevelType w:val="multilevel"/>
    <w:tmpl w:val="2E3658A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9E3C8F"/>
    <w:multiLevelType w:val="hybridMultilevel"/>
    <w:tmpl w:val="0324F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7190211"/>
    <w:multiLevelType w:val="hybridMultilevel"/>
    <w:tmpl w:val="EE64F52A"/>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37224F39"/>
    <w:multiLevelType w:val="hybridMultilevel"/>
    <w:tmpl w:val="107E2460"/>
    <w:lvl w:ilvl="0" w:tplc="73DC637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7BE3E2D"/>
    <w:multiLevelType w:val="hybridMultilevel"/>
    <w:tmpl w:val="2576694A"/>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381945CD"/>
    <w:multiLevelType w:val="hybridMultilevel"/>
    <w:tmpl w:val="0CAEDB64"/>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400F43F4"/>
    <w:multiLevelType w:val="hybridMultilevel"/>
    <w:tmpl w:val="6178A0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4E555A3F"/>
    <w:multiLevelType w:val="hybridMultilevel"/>
    <w:tmpl w:val="C49E8F24"/>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4F094FA8"/>
    <w:multiLevelType w:val="hybridMultilevel"/>
    <w:tmpl w:val="6264F6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2AF4536"/>
    <w:multiLevelType w:val="hybridMultilevel"/>
    <w:tmpl w:val="DBC0FA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49350A4"/>
    <w:multiLevelType w:val="hybridMultilevel"/>
    <w:tmpl w:val="F8B4A934"/>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552B1ABC"/>
    <w:multiLevelType w:val="hybridMultilevel"/>
    <w:tmpl w:val="980233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56FC56F4"/>
    <w:multiLevelType w:val="hybridMultilevel"/>
    <w:tmpl w:val="15E672E6"/>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5B7A21A0"/>
    <w:multiLevelType w:val="hybridMultilevel"/>
    <w:tmpl w:val="670000DC"/>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60CA60D2"/>
    <w:multiLevelType w:val="hybridMultilevel"/>
    <w:tmpl w:val="11AEA418"/>
    <w:lvl w:ilvl="0" w:tplc="F50ECD3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7B73389"/>
    <w:multiLevelType w:val="hybridMultilevel"/>
    <w:tmpl w:val="AC74839E"/>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6ADB2866"/>
    <w:multiLevelType w:val="hybridMultilevel"/>
    <w:tmpl w:val="30D850DE"/>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6F887B20"/>
    <w:multiLevelType w:val="hybridMultilevel"/>
    <w:tmpl w:val="B36A9E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7193715E"/>
    <w:multiLevelType w:val="hybridMultilevel"/>
    <w:tmpl w:val="FA787D10"/>
    <w:lvl w:ilvl="0" w:tplc="73DC637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nsid w:val="72602ACF"/>
    <w:multiLevelType w:val="hybridMultilevel"/>
    <w:tmpl w:val="286AF6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A1F391B"/>
    <w:multiLevelType w:val="hybridMultilevel"/>
    <w:tmpl w:val="20F00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7"/>
  </w:num>
  <w:num w:numId="4">
    <w:abstractNumId w:val="27"/>
  </w:num>
  <w:num w:numId="5">
    <w:abstractNumId w:val="12"/>
  </w:num>
  <w:num w:numId="6">
    <w:abstractNumId w:val="4"/>
    <w:lvlOverride w:ilvl="0">
      <w:startOverride w:val="2"/>
    </w:lvlOverride>
    <w:lvlOverride w:ilvl="1">
      <w:startOverride w:val="3"/>
    </w:lvlOverride>
  </w:num>
  <w:num w:numId="7">
    <w:abstractNumId w:val="4"/>
    <w:lvlOverride w:ilvl="0">
      <w:startOverride w:val="2"/>
    </w:lvlOverride>
    <w:lvlOverride w:ilvl="1">
      <w:startOverride w:val="3"/>
    </w:lvlOverride>
  </w:num>
  <w:num w:numId="8">
    <w:abstractNumId w:val="4"/>
    <w:lvlOverride w:ilvl="0">
      <w:startOverride w:val="2"/>
    </w:lvlOverride>
    <w:lvlOverride w:ilvl="1">
      <w:startOverride w:val="3"/>
    </w:lvlOverride>
  </w:num>
  <w:num w:numId="9">
    <w:abstractNumId w:val="4"/>
    <w:lvlOverride w:ilvl="0">
      <w:startOverride w:val="2"/>
    </w:lvlOverride>
    <w:lvlOverride w:ilvl="1">
      <w:startOverride w:val="3"/>
    </w:lvlOverride>
  </w:num>
  <w:num w:numId="10">
    <w:abstractNumId w:val="0"/>
  </w:num>
  <w:num w:numId="11">
    <w:abstractNumId w:val="4"/>
    <w:lvlOverride w:ilvl="0">
      <w:startOverride w:val="3"/>
    </w:lvlOverride>
    <w:lvlOverride w:ilvl="1">
      <w:startOverride w:val="1"/>
    </w:lvlOverride>
  </w:num>
  <w:num w:numId="12">
    <w:abstractNumId w:val="4"/>
    <w:lvlOverride w:ilvl="0">
      <w:startOverride w:val="3"/>
    </w:lvlOverride>
    <w:lvlOverride w:ilvl="1">
      <w:startOverride w:val="1"/>
    </w:lvlOverride>
  </w:num>
  <w:num w:numId="13">
    <w:abstractNumId w:val="4"/>
    <w:lvlOverride w:ilvl="0">
      <w:startOverride w:val="3"/>
    </w:lvlOverride>
    <w:lvlOverride w:ilvl="1">
      <w:startOverride w:val="1"/>
    </w:lvlOverride>
  </w:num>
  <w:num w:numId="14">
    <w:abstractNumId w:val="8"/>
  </w:num>
  <w:num w:numId="15">
    <w:abstractNumId w:val="4"/>
    <w:lvlOverride w:ilvl="0">
      <w:startOverride w:val="3"/>
    </w:lvlOverride>
    <w:lvlOverride w:ilvl="1">
      <w:startOverride w:val="1"/>
    </w:lvlOverride>
  </w:num>
  <w:num w:numId="16">
    <w:abstractNumId w:val="4"/>
    <w:lvlOverride w:ilvl="0">
      <w:startOverride w:val="3"/>
    </w:lvlOverride>
    <w:lvlOverride w:ilvl="1">
      <w:startOverride w:val="2"/>
    </w:lvlOverride>
  </w:num>
  <w:num w:numId="17">
    <w:abstractNumId w:val="4"/>
    <w:lvlOverride w:ilvl="0">
      <w:startOverride w:val="3"/>
    </w:lvlOverride>
    <w:lvlOverride w:ilvl="1">
      <w:startOverride w:val="2"/>
    </w:lvlOverride>
  </w:num>
  <w:num w:numId="18">
    <w:abstractNumId w:val="4"/>
    <w:lvlOverride w:ilvl="0">
      <w:startOverride w:val="3"/>
    </w:lvlOverride>
    <w:lvlOverride w:ilvl="1">
      <w:startOverride w:val="2"/>
    </w:lvlOverride>
  </w:num>
  <w:num w:numId="19">
    <w:abstractNumId w:val="4"/>
    <w:lvlOverride w:ilvl="0">
      <w:startOverride w:val="3"/>
    </w:lvlOverride>
    <w:lvlOverride w:ilvl="1">
      <w:startOverride w:val="2"/>
    </w:lvlOverride>
  </w:num>
  <w:num w:numId="20">
    <w:abstractNumId w:val="1"/>
  </w:num>
  <w:num w:numId="21">
    <w:abstractNumId w:val="4"/>
    <w:lvlOverride w:ilvl="0">
      <w:startOverride w:val="4"/>
    </w:lvlOverride>
    <w:lvlOverride w:ilvl="1">
      <w:startOverride w:val="1"/>
    </w:lvlOverride>
  </w:num>
  <w:num w:numId="22">
    <w:abstractNumId w:val="4"/>
    <w:lvlOverride w:ilvl="0">
      <w:startOverride w:val="5"/>
    </w:lvlOverride>
    <w:lvlOverride w:ilvl="1">
      <w:startOverride w:val="2"/>
    </w:lvlOverride>
  </w:num>
  <w:num w:numId="23">
    <w:abstractNumId w:val="4"/>
    <w:lvlOverride w:ilvl="0">
      <w:startOverride w:val="5"/>
    </w:lvlOverride>
    <w:lvlOverride w:ilvl="1">
      <w:startOverride w:val="2"/>
    </w:lvlOverride>
  </w:num>
  <w:num w:numId="24">
    <w:abstractNumId w:val="2"/>
  </w:num>
  <w:num w:numId="25">
    <w:abstractNumId w:val="3"/>
  </w:num>
  <w:num w:numId="26">
    <w:abstractNumId w:val="4"/>
    <w:lvlOverride w:ilvl="0">
      <w:startOverride w:val="4"/>
    </w:lvlOverride>
    <w:lvlOverride w:ilvl="1">
      <w:startOverride w:val="1"/>
    </w:lvlOverride>
  </w:num>
  <w:num w:numId="27">
    <w:abstractNumId w:val="4"/>
    <w:lvlOverride w:ilvl="0">
      <w:startOverride w:val="6"/>
    </w:lvlOverride>
    <w:lvlOverride w:ilvl="1">
      <w:startOverride w:val="2"/>
    </w:lvlOverride>
  </w:num>
  <w:num w:numId="28">
    <w:abstractNumId w:val="4"/>
    <w:lvlOverride w:ilvl="0">
      <w:startOverride w:val="6"/>
    </w:lvlOverride>
    <w:lvlOverride w:ilvl="1">
      <w:startOverride w:val="2"/>
    </w:lvlOverride>
  </w:num>
  <w:num w:numId="29">
    <w:abstractNumId w:val="28"/>
  </w:num>
  <w:num w:numId="30">
    <w:abstractNumId w:val="10"/>
  </w:num>
  <w:num w:numId="31">
    <w:abstractNumId w:val="16"/>
  </w:num>
  <w:num w:numId="32">
    <w:abstractNumId w:val="25"/>
  </w:num>
  <w:num w:numId="33">
    <w:abstractNumId w:val="9"/>
  </w:num>
  <w:num w:numId="34">
    <w:abstractNumId w:val="5"/>
  </w:num>
  <w:num w:numId="35">
    <w:abstractNumId w:val="4"/>
    <w:lvlOverride w:ilvl="0">
      <w:startOverride w:val="8"/>
    </w:lvlOverride>
    <w:lvlOverride w:ilvl="1">
      <w:startOverride w:val="3"/>
    </w:lvlOverride>
    <w:lvlOverride w:ilvl="2">
      <w:startOverride w:val="2"/>
    </w:lvlOverride>
  </w:num>
  <w:num w:numId="36">
    <w:abstractNumId w:val="22"/>
  </w:num>
  <w:num w:numId="37">
    <w:abstractNumId w:val="13"/>
  </w:num>
  <w:num w:numId="38">
    <w:abstractNumId w:val="15"/>
  </w:num>
  <w:num w:numId="39">
    <w:abstractNumId w:val="11"/>
  </w:num>
  <w:num w:numId="40">
    <w:abstractNumId w:val="24"/>
  </w:num>
  <w:num w:numId="41">
    <w:abstractNumId w:val="18"/>
  </w:num>
  <w:num w:numId="42">
    <w:abstractNumId w:val="26"/>
  </w:num>
  <w:num w:numId="43">
    <w:abstractNumId w:val="7"/>
  </w:num>
  <w:num w:numId="44">
    <w:abstractNumId w:val="6"/>
  </w:num>
  <w:num w:numId="45">
    <w:abstractNumId w:val="20"/>
  </w:num>
  <w:num w:numId="46">
    <w:abstractNumId w:val="21"/>
  </w:num>
  <w:num w:numId="47">
    <w:abstractNumId w:val="1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proofState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82750C"/>
    <w:rsid w:val="000001D5"/>
    <w:rsid w:val="000143D0"/>
    <w:rsid w:val="00015E04"/>
    <w:rsid w:val="0001769E"/>
    <w:rsid w:val="00024130"/>
    <w:rsid w:val="000323ED"/>
    <w:rsid w:val="00034D89"/>
    <w:rsid w:val="00035B0D"/>
    <w:rsid w:val="00040EE1"/>
    <w:rsid w:val="000422A4"/>
    <w:rsid w:val="000566EC"/>
    <w:rsid w:val="000609C9"/>
    <w:rsid w:val="00074478"/>
    <w:rsid w:val="00076E1E"/>
    <w:rsid w:val="000872DA"/>
    <w:rsid w:val="00091A61"/>
    <w:rsid w:val="000950CE"/>
    <w:rsid w:val="0009637A"/>
    <w:rsid w:val="000A34F7"/>
    <w:rsid w:val="000A3DEB"/>
    <w:rsid w:val="000C00E3"/>
    <w:rsid w:val="000D17D4"/>
    <w:rsid w:val="000D783E"/>
    <w:rsid w:val="000E7D62"/>
    <w:rsid w:val="000F37DB"/>
    <w:rsid w:val="00121F87"/>
    <w:rsid w:val="001324DE"/>
    <w:rsid w:val="00140BEF"/>
    <w:rsid w:val="00147BF3"/>
    <w:rsid w:val="001560D9"/>
    <w:rsid w:val="00160A93"/>
    <w:rsid w:val="00163545"/>
    <w:rsid w:val="001664FB"/>
    <w:rsid w:val="00173823"/>
    <w:rsid w:val="001826E0"/>
    <w:rsid w:val="00184F9B"/>
    <w:rsid w:val="00196EF1"/>
    <w:rsid w:val="00197B03"/>
    <w:rsid w:val="001B1A1C"/>
    <w:rsid w:val="001B1D42"/>
    <w:rsid w:val="001B488E"/>
    <w:rsid w:val="001C2D55"/>
    <w:rsid w:val="001C5D30"/>
    <w:rsid w:val="001D12EE"/>
    <w:rsid w:val="001D1308"/>
    <w:rsid w:val="001D6BF9"/>
    <w:rsid w:val="001E6824"/>
    <w:rsid w:val="001F00A4"/>
    <w:rsid w:val="002010FA"/>
    <w:rsid w:val="002015AE"/>
    <w:rsid w:val="00201A57"/>
    <w:rsid w:val="0020431A"/>
    <w:rsid w:val="00207FBE"/>
    <w:rsid w:val="002117B5"/>
    <w:rsid w:val="002165AC"/>
    <w:rsid w:val="002209D2"/>
    <w:rsid w:val="0022181E"/>
    <w:rsid w:val="002355A7"/>
    <w:rsid w:val="002362F4"/>
    <w:rsid w:val="00236C47"/>
    <w:rsid w:val="00245884"/>
    <w:rsid w:val="002540EB"/>
    <w:rsid w:val="00255BDE"/>
    <w:rsid w:val="00261CC2"/>
    <w:rsid w:val="002625C7"/>
    <w:rsid w:val="0026271C"/>
    <w:rsid w:val="00264704"/>
    <w:rsid w:val="00270875"/>
    <w:rsid w:val="002815D4"/>
    <w:rsid w:val="0028244F"/>
    <w:rsid w:val="0028442B"/>
    <w:rsid w:val="002A40EB"/>
    <w:rsid w:val="002B412F"/>
    <w:rsid w:val="002B745D"/>
    <w:rsid w:val="002D49EE"/>
    <w:rsid w:val="002D6AC0"/>
    <w:rsid w:val="002E32A7"/>
    <w:rsid w:val="002E5514"/>
    <w:rsid w:val="002E6B85"/>
    <w:rsid w:val="002F100A"/>
    <w:rsid w:val="002F1501"/>
    <w:rsid w:val="00301C65"/>
    <w:rsid w:val="00304790"/>
    <w:rsid w:val="003118F1"/>
    <w:rsid w:val="00312BD0"/>
    <w:rsid w:val="00316A31"/>
    <w:rsid w:val="00317099"/>
    <w:rsid w:val="00317CDF"/>
    <w:rsid w:val="0032062A"/>
    <w:rsid w:val="003227BF"/>
    <w:rsid w:val="00322B0D"/>
    <w:rsid w:val="003258DD"/>
    <w:rsid w:val="003329AE"/>
    <w:rsid w:val="00336752"/>
    <w:rsid w:val="00341486"/>
    <w:rsid w:val="00341E17"/>
    <w:rsid w:val="003439ED"/>
    <w:rsid w:val="00345A20"/>
    <w:rsid w:val="003610B3"/>
    <w:rsid w:val="003645F9"/>
    <w:rsid w:val="003744AD"/>
    <w:rsid w:val="00397C22"/>
    <w:rsid w:val="003A4333"/>
    <w:rsid w:val="003A4466"/>
    <w:rsid w:val="003A500F"/>
    <w:rsid w:val="003A6CA9"/>
    <w:rsid w:val="003A7007"/>
    <w:rsid w:val="003B7295"/>
    <w:rsid w:val="003D0B6E"/>
    <w:rsid w:val="003E394F"/>
    <w:rsid w:val="003F2C0C"/>
    <w:rsid w:val="003F5DA1"/>
    <w:rsid w:val="00405353"/>
    <w:rsid w:val="004107A2"/>
    <w:rsid w:val="004120CB"/>
    <w:rsid w:val="00413748"/>
    <w:rsid w:val="00414878"/>
    <w:rsid w:val="004221FD"/>
    <w:rsid w:val="004242F7"/>
    <w:rsid w:val="004258AD"/>
    <w:rsid w:val="00426915"/>
    <w:rsid w:val="0043366C"/>
    <w:rsid w:val="00437347"/>
    <w:rsid w:val="00453452"/>
    <w:rsid w:val="004546B4"/>
    <w:rsid w:val="00474A8C"/>
    <w:rsid w:val="004757D1"/>
    <w:rsid w:val="00476CE0"/>
    <w:rsid w:val="00480BB2"/>
    <w:rsid w:val="00482321"/>
    <w:rsid w:val="00492932"/>
    <w:rsid w:val="004A76BD"/>
    <w:rsid w:val="004B5EF5"/>
    <w:rsid w:val="004B7D78"/>
    <w:rsid w:val="004D11E2"/>
    <w:rsid w:val="004D6B3F"/>
    <w:rsid w:val="004E0CEF"/>
    <w:rsid w:val="004E4AAE"/>
    <w:rsid w:val="004F0E1F"/>
    <w:rsid w:val="004F39C0"/>
    <w:rsid w:val="004F4568"/>
    <w:rsid w:val="00503838"/>
    <w:rsid w:val="00507F94"/>
    <w:rsid w:val="00512C99"/>
    <w:rsid w:val="00521B95"/>
    <w:rsid w:val="005233AD"/>
    <w:rsid w:val="0053084A"/>
    <w:rsid w:val="00532AEA"/>
    <w:rsid w:val="0053741C"/>
    <w:rsid w:val="00540077"/>
    <w:rsid w:val="00545220"/>
    <w:rsid w:val="005626FA"/>
    <w:rsid w:val="00562F1C"/>
    <w:rsid w:val="0056491A"/>
    <w:rsid w:val="0056758F"/>
    <w:rsid w:val="00571132"/>
    <w:rsid w:val="0057223D"/>
    <w:rsid w:val="005821C4"/>
    <w:rsid w:val="005827BA"/>
    <w:rsid w:val="005879CD"/>
    <w:rsid w:val="00591F61"/>
    <w:rsid w:val="005A7F1D"/>
    <w:rsid w:val="005B3101"/>
    <w:rsid w:val="005B7262"/>
    <w:rsid w:val="005D1394"/>
    <w:rsid w:val="005D481F"/>
    <w:rsid w:val="005D6FBE"/>
    <w:rsid w:val="005E0E98"/>
    <w:rsid w:val="0061382E"/>
    <w:rsid w:val="0061543C"/>
    <w:rsid w:val="006234D9"/>
    <w:rsid w:val="00625C85"/>
    <w:rsid w:val="006334D9"/>
    <w:rsid w:val="006359A3"/>
    <w:rsid w:val="006363B5"/>
    <w:rsid w:val="00650E75"/>
    <w:rsid w:val="0066392E"/>
    <w:rsid w:val="0066569E"/>
    <w:rsid w:val="0067052B"/>
    <w:rsid w:val="006830E0"/>
    <w:rsid w:val="006917E4"/>
    <w:rsid w:val="006937C8"/>
    <w:rsid w:val="006952FD"/>
    <w:rsid w:val="006A233B"/>
    <w:rsid w:val="006A30B5"/>
    <w:rsid w:val="006A6F11"/>
    <w:rsid w:val="006B1DEA"/>
    <w:rsid w:val="006D251D"/>
    <w:rsid w:val="006E18D7"/>
    <w:rsid w:val="006E3B10"/>
    <w:rsid w:val="006F1D47"/>
    <w:rsid w:val="006F384F"/>
    <w:rsid w:val="00710D03"/>
    <w:rsid w:val="00717E24"/>
    <w:rsid w:val="007335EE"/>
    <w:rsid w:val="00733CCC"/>
    <w:rsid w:val="00742A57"/>
    <w:rsid w:val="00756769"/>
    <w:rsid w:val="007628BC"/>
    <w:rsid w:val="00775259"/>
    <w:rsid w:val="0078213D"/>
    <w:rsid w:val="007867C6"/>
    <w:rsid w:val="007A0725"/>
    <w:rsid w:val="007A1A60"/>
    <w:rsid w:val="007A3049"/>
    <w:rsid w:val="007A552C"/>
    <w:rsid w:val="007D38B3"/>
    <w:rsid w:val="007E52CB"/>
    <w:rsid w:val="00811072"/>
    <w:rsid w:val="008121DC"/>
    <w:rsid w:val="00812210"/>
    <w:rsid w:val="008217A2"/>
    <w:rsid w:val="00821828"/>
    <w:rsid w:val="0082750C"/>
    <w:rsid w:val="008310C5"/>
    <w:rsid w:val="00831EBD"/>
    <w:rsid w:val="008378AF"/>
    <w:rsid w:val="008463F4"/>
    <w:rsid w:val="0085070C"/>
    <w:rsid w:val="00853DE1"/>
    <w:rsid w:val="008556A0"/>
    <w:rsid w:val="00863AA7"/>
    <w:rsid w:val="0087432B"/>
    <w:rsid w:val="0087640B"/>
    <w:rsid w:val="00880BE1"/>
    <w:rsid w:val="008819D6"/>
    <w:rsid w:val="008941B5"/>
    <w:rsid w:val="008973F8"/>
    <w:rsid w:val="008A0B0B"/>
    <w:rsid w:val="008A4E4F"/>
    <w:rsid w:val="008B1F39"/>
    <w:rsid w:val="008B3BBF"/>
    <w:rsid w:val="008B4975"/>
    <w:rsid w:val="008B7797"/>
    <w:rsid w:val="008C0C1D"/>
    <w:rsid w:val="008C17CD"/>
    <w:rsid w:val="008C39A5"/>
    <w:rsid w:val="008C5BE9"/>
    <w:rsid w:val="008D0D02"/>
    <w:rsid w:val="008D1D21"/>
    <w:rsid w:val="008D27CC"/>
    <w:rsid w:val="008D5197"/>
    <w:rsid w:val="008E0647"/>
    <w:rsid w:val="008E2882"/>
    <w:rsid w:val="008E495C"/>
    <w:rsid w:val="00912141"/>
    <w:rsid w:val="009236CD"/>
    <w:rsid w:val="00945A13"/>
    <w:rsid w:val="00946A15"/>
    <w:rsid w:val="009536CC"/>
    <w:rsid w:val="0095659C"/>
    <w:rsid w:val="00963A33"/>
    <w:rsid w:val="009670D2"/>
    <w:rsid w:val="00973BAF"/>
    <w:rsid w:val="009750CD"/>
    <w:rsid w:val="0097646C"/>
    <w:rsid w:val="009822ED"/>
    <w:rsid w:val="00987073"/>
    <w:rsid w:val="0099107F"/>
    <w:rsid w:val="0099598D"/>
    <w:rsid w:val="009B1353"/>
    <w:rsid w:val="009B46E1"/>
    <w:rsid w:val="009B4A0A"/>
    <w:rsid w:val="009C1102"/>
    <w:rsid w:val="009C32F5"/>
    <w:rsid w:val="009D0941"/>
    <w:rsid w:val="009D5BA8"/>
    <w:rsid w:val="009D6172"/>
    <w:rsid w:val="009E094A"/>
    <w:rsid w:val="009E4343"/>
    <w:rsid w:val="009E6573"/>
    <w:rsid w:val="009F2C3A"/>
    <w:rsid w:val="00A05543"/>
    <w:rsid w:val="00A06B89"/>
    <w:rsid w:val="00A149C5"/>
    <w:rsid w:val="00A522BC"/>
    <w:rsid w:val="00A533C8"/>
    <w:rsid w:val="00A55714"/>
    <w:rsid w:val="00A64D60"/>
    <w:rsid w:val="00A86026"/>
    <w:rsid w:val="00A86611"/>
    <w:rsid w:val="00A87732"/>
    <w:rsid w:val="00AB452D"/>
    <w:rsid w:val="00AC3175"/>
    <w:rsid w:val="00AC3EF2"/>
    <w:rsid w:val="00AC7067"/>
    <w:rsid w:val="00AC77B3"/>
    <w:rsid w:val="00AE307B"/>
    <w:rsid w:val="00AE7124"/>
    <w:rsid w:val="00AF2EA1"/>
    <w:rsid w:val="00AF317A"/>
    <w:rsid w:val="00AF5F18"/>
    <w:rsid w:val="00B05863"/>
    <w:rsid w:val="00B05A4F"/>
    <w:rsid w:val="00B13B94"/>
    <w:rsid w:val="00B20B5B"/>
    <w:rsid w:val="00B23B08"/>
    <w:rsid w:val="00B3301A"/>
    <w:rsid w:val="00B35B60"/>
    <w:rsid w:val="00B3696B"/>
    <w:rsid w:val="00B45576"/>
    <w:rsid w:val="00B45B45"/>
    <w:rsid w:val="00B5672D"/>
    <w:rsid w:val="00B57DBE"/>
    <w:rsid w:val="00B61608"/>
    <w:rsid w:val="00B619C4"/>
    <w:rsid w:val="00B6436E"/>
    <w:rsid w:val="00B70020"/>
    <w:rsid w:val="00B81CF0"/>
    <w:rsid w:val="00B835E5"/>
    <w:rsid w:val="00B87869"/>
    <w:rsid w:val="00BA0450"/>
    <w:rsid w:val="00BB627E"/>
    <w:rsid w:val="00BC6C93"/>
    <w:rsid w:val="00BC78FF"/>
    <w:rsid w:val="00BE72B4"/>
    <w:rsid w:val="00BF1E8F"/>
    <w:rsid w:val="00BF2B4D"/>
    <w:rsid w:val="00BF3B16"/>
    <w:rsid w:val="00BF476E"/>
    <w:rsid w:val="00BF5F47"/>
    <w:rsid w:val="00C04667"/>
    <w:rsid w:val="00C21343"/>
    <w:rsid w:val="00C3248B"/>
    <w:rsid w:val="00C34621"/>
    <w:rsid w:val="00C45998"/>
    <w:rsid w:val="00C473AD"/>
    <w:rsid w:val="00C705FB"/>
    <w:rsid w:val="00C742DB"/>
    <w:rsid w:val="00C76F96"/>
    <w:rsid w:val="00C81939"/>
    <w:rsid w:val="00C90697"/>
    <w:rsid w:val="00C91548"/>
    <w:rsid w:val="00C94677"/>
    <w:rsid w:val="00C95382"/>
    <w:rsid w:val="00C959AF"/>
    <w:rsid w:val="00CA0D4B"/>
    <w:rsid w:val="00CB1B23"/>
    <w:rsid w:val="00CB2959"/>
    <w:rsid w:val="00CB2A7A"/>
    <w:rsid w:val="00CB571E"/>
    <w:rsid w:val="00CC4F66"/>
    <w:rsid w:val="00CC73AD"/>
    <w:rsid w:val="00CD5636"/>
    <w:rsid w:val="00CD6C05"/>
    <w:rsid w:val="00CD7200"/>
    <w:rsid w:val="00CE1B65"/>
    <w:rsid w:val="00CE1E1D"/>
    <w:rsid w:val="00CE57A6"/>
    <w:rsid w:val="00CF167B"/>
    <w:rsid w:val="00CF3605"/>
    <w:rsid w:val="00CF7CD0"/>
    <w:rsid w:val="00D1345C"/>
    <w:rsid w:val="00D23572"/>
    <w:rsid w:val="00D2466D"/>
    <w:rsid w:val="00D3162D"/>
    <w:rsid w:val="00D441E7"/>
    <w:rsid w:val="00D5149B"/>
    <w:rsid w:val="00D5170A"/>
    <w:rsid w:val="00D526BD"/>
    <w:rsid w:val="00D63106"/>
    <w:rsid w:val="00D66F94"/>
    <w:rsid w:val="00D73E73"/>
    <w:rsid w:val="00D741D5"/>
    <w:rsid w:val="00D75C7A"/>
    <w:rsid w:val="00D91402"/>
    <w:rsid w:val="00D91BD5"/>
    <w:rsid w:val="00D97631"/>
    <w:rsid w:val="00DA0943"/>
    <w:rsid w:val="00DA7E51"/>
    <w:rsid w:val="00DB19E2"/>
    <w:rsid w:val="00DB4AC1"/>
    <w:rsid w:val="00DC553C"/>
    <w:rsid w:val="00DD22CA"/>
    <w:rsid w:val="00DE4BBB"/>
    <w:rsid w:val="00DF46A7"/>
    <w:rsid w:val="00E00D2B"/>
    <w:rsid w:val="00E275B8"/>
    <w:rsid w:val="00E34744"/>
    <w:rsid w:val="00E45AFA"/>
    <w:rsid w:val="00E50171"/>
    <w:rsid w:val="00E51055"/>
    <w:rsid w:val="00E540C2"/>
    <w:rsid w:val="00E60CD7"/>
    <w:rsid w:val="00E627F2"/>
    <w:rsid w:val="00E73011"/>
    <w:rsid w:val="00E833F6"/>
    <w:rsid w:val="00E84768"/>
    <w:rsid w:val="00E84874"/>
    <w:rsid w:val="00E84A61"/>
    <w:rsid w:val="00E86BC6"/>
    <w:rsid w:val="00E904E3"/>
    <w:rsid w:val="00E92D00"/>
    <w:rsid w:val="00E94F3A"/>
    <w:rsid w:val="00EA4973"/>
    <w:rsid w:val="00EA4B63"/>
    <w:rsid w:val="00EA6F7E"/>
    <w:rsid w:val="00EB659E"/>
    <w:rsid w:val="00ED0D2A"/>
    <w:rsid w:val="00ED2516"/>
    <w:rsid w:val="00EE14B9"/>
    <w:rsid w:val="00EE453E"/>
    <w:rsid w:val="00EE4F52"/>
    <w:rsid w:val="00EF396C"/>
    <w:rsid w:val="00EF4210"/>
    <w:rsid w:val="00F1030D"/>
    <w:rsid w:val="00F124BC"/>
    <w:rsid w:val="00F12AFB"/>
    <w:rsid w:val="00F229DE"/>
    <w:rsid w:val="00F24841"/>
    <w:rsid w:val="00F3281C"/>
    <w:rsid w:val="00F42C8C"/>
    <w:rsid w:val="00F43D19"/>
    <w:rsid w:val="00F461C3"/>
    <w:rsid w:val="00F54E10"/>
    <w:rsid w:val="00F56293"/>
    <w:rsid w:val="00F65177"/>
    <w:rsid w:val="00F65E8D"/>
    <w:rsid w:val="00F75147"/>
    <w:rsid w:val="00F841EB"/>
    <w:rsid w:val="00F87DDF"/>
    <w:rsid w:val="00F9069A"/>
    <w:rsid w:val="00F94DF6"/>
    <w:rsid w:val="00FA4C88"/>
    <w:rsid w:val="00FA4F71"/>
    <w:rsid w:val="00FB14FD"/>
    <w:rsid w:val="00FC096B"/>
    <w:rsid w:val="00FC0CC3"/>
    <w:rsid w:val="00FC491F"/>
    <w:rsid w:val="00FD0C4C"/>
    <w:rsid w:val="00FD37CC"/>
    <w:rsid w:val="00FF585F"/>
    <w:rsid w:val="00FF715F"/>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CC"/>
    <w:rPr>
      <w:lang w:val="en-GB"/>
    </w:rPr>
  </w:style>
  <w:style w:type="paragraph" w:styleId="Heading1">
    <w:name w:val="heading 1"/>
    <w:basedOn w:val="Normal"/>
    <w:next w:val="Normal"/>
    <w:link w:val="Heading1Char"/>
    <w:uiPriority w:val="9"/>
    <w:qFormat/>
    <w:rsid w:val="00A522BC"/>
    <w:pPr>
      <w:keepNext/>
      <w:keepLines/>
      <w:spacing w:before="480" w:after="240"/>
      <w:outlineLvl w:val="0"/>
    </w:pPr>
    <w:rPr>
      <w:rFonts w:ascii="Arial Narrow" w:eastAsiaTheme="majorEastAsia" w:hAnsi="Arial Narrow" w:cs="Arial"/>
      <w:b/>
      <w:bCs/>
      <w:color w:val="595959" w:themeColor="text1" w:themeTint="A6"/>
      <w:sz w:val="40"/>
      <w:szCs w:val="40"/>
    </w:rPr>
  </w:style>
  <w:style w:type="paragraph" w:styleId="Heading2">
    <w:name w:val="heading 2"/>
    <w:basedOn w:val="Normal"/>
    <w:next w:val="Normal"/>
    <w:link w:val="Heading2Char"/>
    <w:uiPriority w:val="9"/>
    <w:unhideWhenUsed/>
    <w:qFormat/>
    <w:rsid w:val="00756769"/>
    <w:pPr>
      <w:keepNext/>
      <w:keepLines/>
      <w:numPr>
        <w:ilvl w:val="1"/>
        <w:numId w:val="1"/>
      </w:numPr>
      <w:spacing w:before="200" w:after="240"/>
      <w:outlineLvl w:val="1"/>
    </w:pPr>
    <w:rPr>
      <w:rFonts w:ascii="Franklin Gothic Medium Cond" w:eastAsiaTheme="majorEastAsia" w:hAnsi="Franklin Gothic Medium Cond" w:cstheme="majorBidi"/>
      <w:bCs/>
      <w:color w:val="595959" w:themeColor="text1" w:themeTint="A6"/>
      <w:sz w:val="28"/>
      <w:szCs w:val="26"/>
    </w:rPr>
  </w:style>
  <w:style w:type="paragraph" w:styleId="Heading3">
    <w:name w:val="heading 3"/>
    <w:basedOn w:val="Normal"/>
    <w:next w:val="Normal"/>
    <w:link w:val="Heading3Char"/>
    <w:uiPriority w:val="9"/>
    <w:unhideWhenUsed/>
    <w:qFormat/>
    <w:rsid w:val="00A533C8"/>
    <w:pPr>
      <w:keepNext/>
      <w:keepLines/>
      <w:spacing w:before="200" w:after="240"/>
      <w:ind w:left="720" w:hanging="720"/>
      <w:outlineLvl w:val="2"/>
    </w:pPr>
    <w:rPr>
      <w:rFonts w:ascii="Franklin Gothic Medium Cond" w:eastAsiaTheme="majorEastAsia" w:hAnsi="Franklin Gothic Medium Cond" w:cstheme="majorBidi"/>
      <w:b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769"/>
    <w:rPr>
      <w:rFonts w:ascii="Franklin Gothic Medium Cond" w:eastAsiaTheme="majorEastAsia" w:hAnsi="Franklin Gothic Medium Cond" w:cstheme="majorBidi"/>
      <w:bCs/>
      <w:color w:val="595959" w:themeColor="text1" w:themeTint="A6"/>
      <w:sz w:val="28"/>
      <w:szCs w:val="26"/>
      <w:lang w:val="en-GB"/>
    </w:rPr>
  </w:style>
  <w:style w:type="character" w:customStyle="1" w:styleId="Heading1Char">
    <w:name w:val="Heading 1 Char"/>
    <w:basedOn w:val="DefaultParagraphFont"/>
    <w:link w:val="Heading1"/>
    <w:uiPriority w:val="9"/>
    <w:rsid w:val="00A522BC"/>
    <w:rPr>
      <w:rFonts w:ascii="Arial Narrow" w:eastAsiaTheme="majorEastAsia" w:hAnsi="Arial Narrow" w:cs="Arial"/>
      <w:b/>
      <w:bCs/>
      <w:color w:val="595959" w:themeColor="text1" w:themeTint="A6"/>
      <w:sz w:val="40"/>
      <w:szCs w:val="40"/>
      <w:lang w:val="en-GB"/>
    </w:rPr>
  </w:style>
  <w:style w:type="paragraph" w:styleId="ListParagraph">
    <w:name w:val="List Paragraph"/>
    <w:aliases w:val="footer"/>
    <w:basedOn w:val="Normal"/>
    <w:uiPriority w:val="34"/>
    <w:qFormat/>
    <w:rsid w:val="00304790"/>
    <w:pPr>
      <w:ind w:left="720"/>
      <w:contextualSpacing/>
    </w:pPr>
  </w:style>
  <w:style w:type="table" w:styleId="TableGrid">
    <w:name w:val="Table Grid"/>
    <w:basedOn w:val="TableNormal"/>
    <w:uiPriority w:val="39"/>
    <w:rsid w:val="00855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556A0"/>
    <w:rPr>
      <w:color w:val="0000FF" w:themeColor="hyperlink"/>
      <w:u w:val="single"/>
    </w:rPr>
  </w:style>
  <w:style w:type="paragraph" w:styleId="FootnoteText">
    <w:name w:val="footnote text"/>
    <w:aliases w:val="Schriftart: 9 pt,Schriftart: 10 pt,Schriftart: 8 pt,Schriftart: 8 pt Char Zchn Zchn,Schriftart: 8 pt Char,Footnote Text Char2,Schriftart: 9 pt Char2,Schriftart: 10 pt Char2,Schriftart: 8 pt Char Zchn Zchn Char2"/>
    <w:basedOn w:val="Normal"/>
    <w:link w:val="FootnoteTextChar"/>
    <w:uiPriority w:val="99"/>
    <w:unhideWhenUsed/>
    <w:rsid w:val="00AF2EA1"/>
    <w:pPr>
      <w:spacing w:after="0" w:line="240" w:lineRule="auto"/>
    </w:pPr>
    <w:rPr>
      <w:sz w:val="20"/>
      <w:szCs w:val="20"/>
    </w:rPr>
  </w:style>
  <w:style w:type="character" w:customStyle="1" w:styleId="FootnoteTextChar">
    <w:name w:val="Footnote Text Char"/>
    <w:aliases w:val="Schriftart: 9 pt Char,Schriftart: 10 pt Char,Schriftart: 8 pt Char1,Schriftart: 8 pt Char Zchn Zchn Char,Schriftart: 8 pt Char Char,Footnote Text Char2 Char,Schriftart: 9 pt Char2 Char,Schriftart: 10 pt Char2 Char"/>
    <w:basedOn w:val="DefaultParagraphFont"/>
    <w:link w:val="FootnoteText"/>
    <w:uiPriority w:val="99"/>
    <w:rsid w:val="00AF2EA1"/>
    <w:rPr>
      <w:sz w:val="20"/>
      <w:szCs w:val="20"/>
      <w:lang w:val="en-GB"/>
    </w:rPr>
  </w:style>
  <w:style w:type="character" w:styleId="FootnoteReference">
    <w:name w:val="footnote reference"/>
    <w:basedOn w:val="DefaultParagraphFont"/>
    <w:unhideWhenUsed/>
    <w:rsid w:val="00AF2EA1"/>
    <w:rPr>
      <w:vertAlign w:val="superscript"/>
    </w:rPr>
  </w:style>
  <w:style w:type="paragraph" w:styleId="Header">
    <w:name w:val="header"/>
    <w:basedOn w:val="Normal"/>
    <w:link w:val="HeaderChar"/>
    <w:uiPriority w:val="99"/>
    <w:unhideWhenUsed/>
    <w:rsid w:val="00DD22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22CA"/>
    <w:rPr>
      <w:lang w:val="en-GB"/>
    </w:rPr>
  </w:style>
  <w:style w:type="paragraph" w:styleId="Footer">
    <w:name w:val="footer"/>
    <w:basedOn w:val="Normal"/>
    <w:link w:val="FooterChar"/>
    <w:uiPriority w:val="99"/>
    <w:unhideWhenUsed/>
    <w:rsid w:val="00DD22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22CA"/>
    <w:rPr>
      <w:lang w:val="en-GB"/>
    </w:rPr>
  </w:style>
  <w:style w:type="character" w:styleId="Strong">
    <w:name w:val="Strong"/>
    <w:basedOn w:val="DefaultParagraphFont"/>
    <w:uiPriority w:val="22"/>
    <w:qFormat/>
    <w:rsid w:val="00201A57"/>
    <w:rPr>
      <w:b/>
      <w:bCs/>
    </w:rPr>
  </w:style>
  <w:style w:type="paragraph" w:styleId="BalloonText">
    <w:name w:val="Balloon Text"/>
    <w:basedOn w:val="Normal"/>
    <w:link w:val="BalloonTextChar"/>
    <w:rsid w:val="000323ED"/>
    <w:pPr>
      <w:spacing w:after="0" w:line="240" w:lineRule="auto"/>
    </w:pPr>
    <w:rPr>
      <w:rFonts w:ascii="MetaBook-Roman" w:eastAsiaTheme="minorEastAsia" w:hAnsi="MetaBook-Roman" w:cs="Tahoma"/>
      <w:sz w:val="16"/>
      <w:szCs w:val="16"/>
      <w:lang w:val="nb-NO" w:eastAsia="nb-NO"/>
    </w:rPr>
  </w:style>
  <w:style w:type="character" w:customStyle="1" w:styleId="BalloonTextChar">
    <w:name w:val="Balloon Text Char"/>
    <w:basedOn w:val="DefaultParagraphFont"/>
    <w:link w:val="BalloonText"/>
    <w:rsid w:val="000323ED"/>
    <w:rPr>
      <w:rFonts w:ascii="MetaBook-Roman" w:eastAsiaTheme="minorEastAsia" w:hAnsi="MetaBook-Roman" w:cs="Tahoma"/>
      <w:sz w:val="16"/>
      <w:szCs w:val="16"/>
      <w:lang w:eastAsia="nb-NO"/>
    </w:rPr>
  </w:style>
  <w:style w:type="paragraph" w:customStyle="1" w:styleId="CM1">
    <w:name w:val="CM1"/>
    <w:basedOn w:val="Normal"/>
    <w:next w:val="Normal"/>
    <w:uiPriority w:val="99"/>
    <w:rsid w:val="003E394F"/>
    <w:pPr>
      <w:autoSpaceDE w:val="0"/>
      <w:autoSpaceDN w:val="0"/>
      <w:adjustRightInd w:val="0"/>
      <w:spacing w:after="0" w:line="240" w:lineRule="auto"/>
    </w:pPr>
    <w:rPr>
      <w:rFonts w:ascii="EUAlbertina" w:hAnsi="EUAlbertina"/>
      <w:sz w:val="24"/>
      <w:szCs w:val="24"/>
      <w:lang w:val="nb-NO"/>
    </w:rPr>
  </w:style>
  <w:style w:type="paragraph" w:customStyle="1" w:styleId="CM3">
    <w:name w:val="CM3"/>
    <w:basedOn w:val="Normal"/>
    <w:next w:val="Normal"/>
    <w:uiPriority w:val="99"/>
    <w:rsid w:val="003E394F"/>
    <w:pPr>
      <w:autoSpaceDE w:val="0"/>
      <w:autoSpaceDN w:val="0"/>
      <w:adjustRightInd w:val="0"/>
      <w:spacing w:after="0" w:line="240" w:lineRule="auto"/>
    </w:pPr>
    <w:rPr>
      <w:rFonts w:ascii="EUAlbertina" w:hAnsi="EUAlbertina"/>
      <w:sz w:val="24"/>
      <w:szCs w:val="24"/>
      <w:lang w:val="nb-NO"/>
    </w:rPr>
  </w:style>
  <w:style w:type="paragraph" w:styleId="Caption">
    <w:name w:val="caption"/>
    <w:basedOn w:val="Normal"/>
    <w:next w:val="Normal"/>
    <w:uiPriority w:val="35"/>
    <w:unhideWhenUsed/>
    <w:qFormat/>
    <w:rsid w:val="00B05863"/>
    <w:pPr>
      <w:spacing w:line="240" w:lineRule="auto"/>
    </w:pPr>
    <w:rPr>
      <w:rFonts w:ascii="Times New Roman" w:eastAsia="Times New Roman" w:hAnsi="Times New Roman" w:cs="Times New Roman"/>
      <w:b/>
      <w:bCs/>
      <w:color w:val="4F81BD" w:themeColor="accent1"/>
      <w:sz w:val="18"/>
      <w:szCs w:val="18"/>
      <w:lang w:val="de-DE" w:eastAsia="de-DE"/>
    </w:rPr>
  </w:style>
  <w:style w:type="character" w:customStyle="1" w:styleId="docbaseauthor">
    <w:name w:val="docbase_author"/>
    <w:basedOn w:val="DefaultParagraphFont"/>
    <w:rsid w:val="00B05863"/>
  </w:style>
  <w:style w:type="character" w:customStyle="1" w:styleId="docbasetitle">
    <w:name w:val="docbase_title"/>
    <w:basedOn w:val="DefaultParagraphFont"/>
    <w:rsid w:val="00B05863"/>
  </w:style>
  <w:style w:type="character" w:customStyle="1" w:styleId="articlecitationpages">
    <w:name w:val="articlecitation_pages"/>
    <w:basedOn w:val="DefaultParagraphFont"/>
    <w:rsid w:val="00B05863"/>
  </w:style>
  <w:style w:type="character" w:customStyle="1" w:styleId="articlecitationyear">
    <w:name w:val="articlecitation_year"/>
    <w:basedOn w:val="DefaultParagraphFont"/>
    <w:rsid w:val="00B05863"/>
  </w:style>
  <w:style w:type="character" w:customStyle="1" w:styleId="articlecitationvolume">
    <w:name w:val="articlecitation_volume"/>
    <w:basedOn w:val="DefaultParagraphFont"/>
    <w:rsid w:val="00B05863"/>
  </w:style>
  <w:style w:type="paragraph" w:styleId="NormalWeb">
    <w:name w:val="Normal (Web)"/>
    <w:basedOn w:val="Normal"/>
    <w:uiPriority w:val="99"/>
    <w:unhideWhenUsed/>
    <w:rsid w:val="00DF46A7"/>
    <w:pPr>
      <w:spacing w:before="100" w:beforeAutospacing="1" w:after="100" w:afterAutospacing="1" w:line="240" w:lineRule="auto"/>
    </w:pPr>
    <w:rPr>
      <w:rFonts w:ascii="Times" w:eastAsiaTheme="minorEastAsia" w:hAnsi="Times" w:cs="Times New Roman"/>
      <w:sz w:val="20"/>
      <w:szCs w:val="20"/>
      <w:lang w:val="nb-NO"/>
    </w:rPr>
  </w:style>
  <w:style w:type="character" w:customStyle="1" w:styleId="Heading3Char">
    <w:name w:val="Heading 3 Char"/>
    <w:basedOn w:val="DefaultParagraphFont"/>
    <w:link w:val="Heading3"/>
    <w:uiPriority w:val="9"/>
    <w:rsid w:val="00A533C8"/>
    <w:rPr>
      <w:rFonts w:ascii="Franklin Gothic Medium Cond" w:eastAsiaTheme="majorEastAsia" w:hAnsi="Franklin Gothic Medium Cond" w:cstheme="majorBidi"/>
      <w:bCs/>
      <w:color w:val="404040" w:themeColor="text1" w:themeTint="BF"/>
      <w:sz w:val="24"/>
      <w:szCs w:val="24"/>
      <w:lang w:val="en-GB"/>
    </w:rPr>
  </w:style>
  <w:style w:type="table" w:customStyle="1" w:styleId="Tabellrutenett2">
    <w:name w:val="Tabellrutenett2"/>
    <w:basedOn w:val="TableNormal"/>
    <w:next w:val="TableGrid"/>
    <w:uiPriority w:val="39"/>
    <w:rsid w:val="00F56293"/>
    <w:pPr>
      <w:spacing w:after="0" w:line="240" w:lineRule="auto"/>
    </w:pPr>
    <w:rPr>
      <w:sz w:val="20"/>
    </w:rPr>
    <w:tblPr>
      <w:tblStyleRowBandSize w:val="1"/>
      <w:tblStyleColBandSize w:val="1"/>
      <w:tblInd w:w="0" w:type="dxa"/>
      <w:tblBorders>
        <w:bottom w:val="single" w:sz="4" w:space="0" w:color="auto"/>
        <w:insideH w:val="dotted" w:sz="4" w:space="0" w:color="4BACC6" w:themeColor="accent5"/>
      </w:tblBorders>
      <w:tblCellMar>
        <w:top w:w="0" w:type="dxa"/>
        <w:left w:w="108" w:type="dxa"/>
        <w:bottom w:w="0" w:type="dxa"/>
        <w:right w:w="108" w:type="dxa"/>
      </w:tblCellMar>
    </w:tblPr>
    <w:tcPr>
      <w:shd w:val="clear" w:color="auto" w:fill="auto"/>
    </w:tcPr>
    <w:tblStylePr w:type="firstRow">
      <w:tblPr/>
      <w:tcPr>
        <w:tcBorders>
          <w:top w:val="nil"/>
          <w:left w:val="nil"/>
          <w:bottom w:val="single" w:sz="8" w:space="0" w:color="4F81BD" w:themeColor="accent1"/>
          <w:right w:val="nil"/>
          <w:insideH w:val="nil"/>
          <w:insideV w:val="nil"/>
          <w:tl2br w:val="nil"/>
          <w:tr2bl w:val="nil"/>
        </w:tcBorders>
      </w:tcPr>
    </w:tblStylePr>
    <w:tblStylePr w:type="band1Vert">
      <w:tblPr/>
      <w:tcPr>
        <w:shd w:val="clear" w:color="auto" w:fill="F0F5FA"/>
      </w:tcPr>
    </w:tblStylePr>
  </w:style>
  <w:style w:type="character" w:customStyle="1" w:styleId="Times12pkt">
    <w:name w:val="Times 12pkt"/>
    <w:basedOn w:val="DefaultParagraphFont"/>
    <w:rsid w:val="00CF167B"/>
    <w:rPr>
      <w:rFonts w:ascii="Footlight MT Light" w:hAnsi="Footlight MT Light"/>
      <w:b/>
      <w:noProof w:val="0"/>
      <w:sz w:val="24"/>
      <w:lang w:val="en-US"/>
    </w:rPr>
  </w:style>
  <w:style w:type="character" w:styleId="CommentReference">
    <w:name w:val="annotation reference"/>
    <w:basedOn w:val="DefaultParagraphFont"/>
    <w:uiPriority w:val="99"/>
    <w:semiHidden/>
    <w:unhideWhenUsed/>
    <w:rsid w:val="003A4466"/>
    <w:rPr>
      <w:sz w:val="16"/>
      <w:szCs w:val="16"/>
    </w:rPr>
  </w:style>
  <w:style w:type="paragraph" w:styleId="CommentText">
    <w:name w:val="annotation text"/>
    <w:basedOn w:val="Normal"/>
    <w:link w:val="CommentTextChar"/>
    <w:uiPriority w:val="99"/>
    <w:semiHidden/>
    <w:unhideWhenUsed/>
    <w:rsid w:val="003A4466"/>
    <w:pPr>
      <w:spacing w:line="240" w:lineRule="auto"/>
    </w:pPr>
    <w:rPr>
      <w:sz w:val="20"/>
      <w:szCs w:val="20"/>
    </w:rPr>
  </w:style>
  <w:style w:type="character" w:customStyle="1" w:styleId="CommentTextChar">
    <w:name w:val="Comment Text Char"/>
    <w:basedOn w:val="DefaultParagraphFont"/>
    <w:link w:val="CommentText"/>
    <w:uiPriority w:val="99"/>
    <w:semiHidden/>
    <w:rsid w:val="003A4466"/>
    <w:rPr>
      <w:sz w:val="20"/>
      <w:szCs w:val="20"/>
      <w:lang w:val="en-GB"/>
    </w:rPr>
  </w:style>
  <w:style w:type="paragraph" w:styleId="CommentSubject">
    <w:name w:val="annotation subject"/>
    <w:basedOn w:val="CommentText"/>
    <w:next w:val="CommentText"/>
    <w:link w:val="CommentSubjectChar"/>
    <w:uiPriority w:val="99"/>
    <w:semiHidden/>
    <w:unhideWhenUsed/>
    <w:rsid w:val="00912141"/>
    <w:rPr>
      <w:b/>
      <w:bCs/>
    </w:rPr>
  </w:style>
  <w:style w:type="character" w:customStyle="1" w:styleId="CommentSubjectChar">
    <w:name w:val="Comment Subject Char"/>
    <w:basedOn w:val="CommentTextChar"/>
    <w:link w:val="CommentSubject"/>
    <w:uiPriority w:val="99"/>
    <w:semiHidden/>
    <w:rsid w:val="00912141"/>
    <w:rPr>
      <w:b/>
      <w:bCs/>
      <w:sz w:val="20"/>
      <w:szCs w:val="20"/>
      <w:lang w:val="en-GB"/>
    </w:rPr>
  </w:style>
  <w:style w:type="character" w:styleId="Emphasis">
    <w:name w:val="Emphasis"/>
    <w:basedOn w:val="DefaultParagraphFont"/>
    <w:uiPriority w:val="20"/>
    <w:qFormat/>
    <w:rsid w:val="004D11E2"/>
    <w:rPr>
      <w:i/>
      <w:iCs/>
    </w:rPr>
  </w:style>
  <w:style w:type="paragraph" w:customStyle="1" w:styleId="Litteraturreferanse">
    <w:name w:val="Litteratur referanse"/>
    <w:basedOn w:val="ListParagraph"/>
    <w:qFormat/>
    <w:rsid w:val="00FD37CC"/>
    <w:pPr>
      <w:spacing w:after="120" w:line="240" w:lineRule="auto"/>
      <w:ind w:left="567" w:hanging="567"/>
      <w:contextualSpacing w:val="0"/>
    </w:pPr>
    <w:rPr>
      <w:rFonts w:ascii="Georgia" w:eastAsiaTheme="minorEastAsia" w:hAnsi="Georgia"/>
      <w:sz w:val="18"/>
      <w:lang w:val="nb-NO"/>
    </w:rPr>
  </w:style>
</w:styles>
</file>

<file path=word/webSettings.xml><?xml version="1.0" encoding="utf-8"?>
<w:webSettings xmlns:r="http://schemas.openxmlformats.org/officeDocument/2006/relationships" xmlns:w="http://schemas.openxmlformats.org/wordprocessingml/2006/main">
  <w:divs>
    <w:div w:id="91166719">
      <w:bodyDiv w:val="1"/>
      <w:marLeft w:val="0"/>
      <w:marRight w:val="0"/>
      <w:marTop w:val="0"/>
      <w:marBottom w:val="0"/>
      <w:divBdr>
        <w:top w:val="none" w:sz="0" w:space="0" w:color="auto"/>
        <w:left w:val="none" w:sz="0" w:space="0" w:color="auto"/>
        <w:bottom w:val="none" w:sz="0" w:space="0" w:color="auto"/>
        <w:right w:val="none" w:sz="0" w:space="0" w:color="auto"/>
      </w:divBdr>
    </w:div>
    <w:div w:id="452938835">
      <w:bodyDiv w:val="1"/>
      <w:marLeft w:val="0"/>
      <w:marRight w:val="0"/>
      <w:marTop w:val="0"/>
      <w:marBottom w:val="0"/>
      <w:divBdr>
        <w:top w:val="none" w:sz="0" w:space="0" w:color="auto"/>
        <w:left w:val="none" w:sz="0" w:space="0" w:color="auto"/>
        <w:bottom w:val="none" w:sz="0" w:space="0" w:color="auto"/>
        <w:right w:val="none" w:sz="0" w:space="0" w:color="auto"/>
      </w:divBdr>
    </w:div>
    <w:div w:id="573779204">
      <w:bodyDiv w:val="1"/>
      <w:marLeft w:val="0"/>
      <w:marRight w:val="0"/>
      <w:marTop w:val="0"/>
      <w:marBottom w:val="0"/>
      <w:divBdr>
        <w:top w:val="none" w:sz="0" w:space="0" w:color="auto"/>
        <w:left w:val="none" w:sz="0" w:space="0" w:color="auto"/>
        <w:bottom w:val="none" w:sz="0" w:space="0" w:color="auto"/>
        <w:right w:val="none" w:sz="0" w:space="0" w:color="auto"/>
      </w:divBdr>
    </w:div>
    <w:div w:id="1201625353">
      <w:bodyDiv w:val="1"/>
      <w:marLeft w:val="0"/>
      <w:marRight w:val="0"/>
      <w:marTop w:val="0"/>
      <w:marBottom w:val="0"/>
      <w:divBdr>
        <w:top w:val="none" w:sz="0" w:space="0" w:color="auto"/>
        <w:left w:val="none" w:sz="0" w:space="0" w:color="auto"/>
        <w:bottom w:val="none" w:sz="0" w:space="0" w:color="auto"/>
        <w:right w:val="none" w:sz="0" w:space="0" w:color="auto"/>
      </w:divBdr>
    </w:div>
    <w:div w:id="1773238386">
      <w:bodyDiv w:val="1"/>
      <w:marLeft w:val="0"/>
      <w:marRight w:val="0"/>
      <w:marTop w:val="0"/>
      <w:marBottom w:val="0"/>
      <w:divBdr>
        <w:top w:val="none" w:sz="0" w:space="0" w:color="auto"/>
        <w:left w:val="none" w:sz="0" w:space="0" w:color="auto"/>
        <w:bottom w:val="none" w:sz="0" w:space="0" w:color="auto"/>
        <w:right w:val="none" w:sz="0" w:space="0" w:color="auto"/>
      </w:divBdr>
      <w:divsChild>
        <w:div w:id="218908645">
          <w:marLeft w:val="0"/>
          <w:marRight w:val="0"/>
          <w:marTop w:val="0"/>
          <w:marBottom w:val="0"/>
          <w:divBdr>
            <w:top w:val="none" w:sz="0" w:space="0" w:color="auto"/>
            <w:left w:val="none" w:sz="0" w:space="0" w:color="auto"/>
            <w:bottom w:val="none" w:sz="0" w:space="0" w:color="auto"/>
            <w:right w:val="none" w:sz="0" w:space="0" w:color="auto"/>
          </w:divBdr>
        </w:div>
        <w:div w:id="949434374">
          <w:marLeft w:val="0"/>
          <w:marRight w:val="0"/>
          <w:marTop w:val="0"/>
          <w:marBottom w:val="0"/>
          <w:divBdr>
            <w:top w:val="none" w:sz="0" w:space="0" w:color="auto"/>
            <w:left w:val="none" w:sz="0" w:space="0" w:color="auto"/>
            <w:bottom w:val="none" w:sz="0" w:space="0" w:color="auto"/>
            <w:right w:val="none" w:sz="0" w:space="0" w:color="auto"/>
          </w:divBdr>
        </w:div>
        <w:div w:id="1429152665">
          <w:marLeft w:val="0"/>
          <w:marRight w:val="0"/>
          <w:marTop w:val="0"/>
          <w:marBottom w:val="0"/>
          <w:divBdr>
            <w:top w:val="none" w:sz="0" w:space="0" w:color="auto"/>
            <w:left w:val="none" w:sz="0" w:space="0" w:color="auto"/>
            <w:bottom w:val="none" w:sz="0" w:space="0" w:color="auto"/>
            <w:right w:val="none" w:sz="0" w:space="0" w:color="auto"/>
          </w:divBdr>
        </w:div>
        <w:div w:id="802427271">
          <w:marLeft w:val="0"/>
          <w:marRight w:val="0"/>
          <w:marTop w:val="0"/>
          <w:marBottom w:val="0"/>
          <w:divBdr>
            <w:top w:val="none" w:sz="0" w:space="0" w:color="auto"/>
            <w:left w:val="none" w:sz="0" w:space="0" w:color="auto"/>
            <w:bottom w:val="none" w:sz="0" w:space="0" w:color="auto"/>
            <w:right w:val="none" w:sz="0" w:space="0" w:color="auto"/>
          </w:divBdr>
        </w:div>
        <w:div w:id="1874030107">
          <w:marLeft w:val="0"/>
          <w:marRight w:val="0"/>
          <w:marTop w:val="0"/>
          <w:marBottom w:val="0"/>
          <w:divBdr>
            <w:top w:val="none" w:sz="0" w:space="0" w:color="auto"/>
            <w:left w:val="none" w:sz="0" w:space="0" w:color="auto"/>
            <w:bottom w:val="none" w:sz="0" w:space="0" w:color="auto"/>
            <w:right w:val="none" w:sz="0" w:space="0" w:color="auto"/>
          </w:divBdr>
        </w:div>
        <w:div w:id="985351439">
          <w:marLeft w:val="0"/>
          <w:marRight w:val="0"/>
          <w:marTop w:val="0"/>
          <w:marBottom w:val="0"/>
          <w:divBdr>
            <w:top w:val="none" w:sz="0" w:space="0" w:color="auto"/>
            <w:left w:val="none" w:sz="0" w:space="0" w:color="auto"/>
            <w:bottom w:val="none" w:sz="0" w:space="0" w:color="auto"/>
            <w:right w:val="none" w:sz="0" w:space="0" w:color="auto"/>
          </w:divBdr>
        </w:div>
        <w:div w:id="2037581689">
          <w:marLeft w:val="0"/>
          <w:marRight w:val="0"/>
          <w:marTop w:val="0"/>
          <w:marBottom w:val="0"/>
          <w:divBdr>
            <w:top w:val="none" w:sz="0" w:space="0" w:color="auto"/>
            <w:left w:val="none" w:sz="0" w:space="0" w:color="auto"/>
            <w:bottom w:val="none" w:sz="0" w:space="0" w:color="auto"/>
            <w:right w:val="none" w:sz="0" w:space="0" w:color="auto"/>
          </w:divBdr>
        </w:div>
        <w:div w:id="1063336024">
          <w:marLeft w:val="0"/>
          <w:marRight w:val="0"/>
          <w:marTop w:val="0"/>
          <w:marBottom w:val="0"/>
          <w:divBdr>
            <w:top w:val="none" w:sz="0" w:space="0" w:color="auto"/>
            <w:left w:val="none" w:sz="0" w:space="0" w:color="auto"/>
            <w:bottom w:val="none" w:sz="0" w:space="0" w:color="auto"/>
            <w:right w:val="none" w:sz="0" w:space="0" w:color="auto"/>
          </w:divBdr>
        </w:div>
        <w:div w:id="670838432">
          <w:marLeft w:val="0"/>
          <w:marRight w:val="0"/>
          <w:marTop w:val="0"/>
          <w:marBottom w:val="0"/>
          <w:divBdr>
            <w:top w:val="none" w:sz="0" w:space="0" w:color="auto"/>
            <w:left w:val="none" w:sz="0" w:space="0" w:color="auto"/>
            <w:bottom w:val="none" w:sz="0" w:space="0" w:color="auto"/>
            <w:right w:val="none" w:sz="0" w:space="0" w:color="auto"/>
          </w:divBdr>
        </w:div>
        <w:div w:id="123347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nupi.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F359-9D86-4FBD-A300-08225434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7198</Words>
  <Characters>38152</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Melchior</dc:creator>
  <cp:lastModifiedBy>Arne Melchior</cp:lastModifiedBy>
  <cp:revision>4</cp:revision>
  <cp:lastPrinted>2016-10-29T15:07:00Z</cp:lastPrinted>
  <dcterms:created xsi:type="dcterms:W3CDTF">2016-11-01T15:59:00Z</dcterms:created>
  <dcterms:modified xsi:type="dcterms:W3CDTF">2016-11-01T16:12:00Z</dcterms:modified>
</cp:coreProperties>
</file>